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723"/>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rPr>
        <w:t xml:space="preserve">苏州市相城区政府采购</w:t>
      </w:r>
      <w:r>
        <w:rPr>
          <w:color w:val="000000" w:themeColor="text1"/>
        </w:rPr>
      </w:r>
      <w:r/>
    </w:p>
    <w:p>
      <w:pPr>
        <w:ind w:left="0" w:right="0" w:firstLine="723"/>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72"/>
        </w:rPr>
        <w:t xml:space="preserve">竞争性磋商文件</w:t>
      </w:r>
      <w:r>
        <w:rPr>
          <w:color w:val="000000" w:themeColor="text1"/>
        </w:rPr>
      </w:r>
      <w:r/>
    </w:p>
    <w:p>
      <w:pPr>
        <w:ind w:left="0" w:right="0" w:firstLine="26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1379"/>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32"/>
        </w:rPr>
        <w:t xml:space="preserve">采购编号:JSZC-320507-PMJS-C2025-0037</w:t>
      </w:r>
      <w:r>
        <w:rPr>
          <w:color w:val="000000" w:themeColor="text1"/>
        </w:rPr>
      </w:r>
      <w:r/>
    </w:p>
    <w:p>
      <w:pPr>
        <w:ind w:left="2904" w:right="0" w:hanging="1534"/>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32"/>
        </w:rPr>
        <w:t xml:space="preserve">采购项目：2025年度度假区(阳澄湖镇)建筑垃圾清运服务采购项目</w:t>
      </w:r>
      <w:r>
        <w:rPr>
          <w:color w:val="000000" w:themeColor="text1"/>
        </w:rPr>
      </w:r>
      <w:r/>
    </w:p>
    <w:p>
      <w:pPr>
        <w:ind w:left="0" w:right="0" w:firstLine="1379"/>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32"/>
        </w:rPr>
        <w:t xml:space="preserve">采购人：苏州市相城区阳澄湖镇人民政府</w:t>
      </w:r>
      <w:r>
        <w:rPr>
          <w:color w:val="000000" w:themeColor="text1"/>
        </w:rPr>
      </w:r>
      <w:r/>
    </w:p>
    <w:p>
      <w:pPr>
        <w:ind w:left="0" w:right="0" w:firstLine="1379"/>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32"/>
        </w:rPr>
        <w:t xml:space="preserve">采购类别：服务类</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pacing w:val="-6"/>
          <w:sz w:val="3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江苏京苏项目管理咨询有限公司</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2025年12月</w:t>
      </w:r>
      <w:r>
        <w:rPr>
          <w:color w:val="000000" w:themeColor="text1"/>
        </w:rPr>
      </w:r>
      <w:r/>
    </w:p>
    <w:p>
      <w:pPr>
        <w:ind w:left="420" w:right="0" w:firstLine="420"/>
        <w:jc w:val="both"/>
        <w:spacing w:before="21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361"/>
        <w:jc w:val="both"/>
        <w:spacing w:before="0" w:after="0" w:line="499" w:lineRule="atLeast"/>
        <w:rPr>
          <w:rFonts w:ascii="SimSun" w:hAnsi="SimSun" w:eastAsia="SimSun" w:cs="SimSun"/>
          <w:b/>
          <w:bCs/>
          <w:color w:val="000000" w:themeColor="text1"/>
          <w:sz w:val="36"/>
          <w:szCs w:val="36"/>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rPr>
        <w:t xml:space="preserve"> </w:t>
      </w:r>
      <w:r>
        <w:rPr>
          <w:color w:val="000000" w:themeColor="text1"/>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color w:val="000000" w:themeColor="text1"/>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color w:val="000000" w:themeColor="text1"/>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361"/>
        <w:jc w:val="both"/>
        <w:spacing w:before="0" w:after="0" w:line="499"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6"/>
          <w:highlight w:val="none"/>
        </w:rPr>
      </w:r>
      <w:r>
        <w:rPr>
          <w:color w:val="000000" w:themeColor="text1"/>
        </w:rPr>
      </w:r>
      <w:r/>
    </w:p>
    <w:p>
      <w:pPr>
        <w:ind w:left="0" w:right="0" w:firstLine="522"/>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总目录</w:t>
      </w:r>
      <w:r>
        <w:rPr>
          <w:color w:val="000000" w:themeColor="text1"/>
        </w:rPr>
      </w:r>
      <w:r/>
    </w:p>
    <w:p>
      <w:pPr>
        <w:ind w:left="0" w:right="0" w:firstLine="30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 </w:t>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前附表</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第一章竞争性磋商公告</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第二章 磋商供应商须知</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第三章 响应文件格式</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第四章 磋商采购内容</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第五章 合同条款</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第六章 评审办法</w:t>
        <w:tab/>
      </w:r>
      <w:r>
        <w:rPr>
          <w:color w:val="000000" w:themeColor="text1"/>
        </w:rPr>
      </w:r>
      <w:r/>
    </w:p>
    <w:p>
      <w:pPr>
        <w:ind w:left="0" w:right="0" w:firstLine="0"/>
        <w:spacing w:before="0" w:after="0" w:line="113" w:lineRule="atLeast"/>
        <w:tabs>
          <w:tab w:val="left" w:pos="907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321"/>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前附表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83"/>
        <w:gridCol w:w="7564"/>
      </w:tblGrid>
      <w:tr>
        <w:trPr>
          <w:trHeight w:val="495"/>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241"/>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项号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1"/>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内容规定</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采购内容：2025年度度假区(阳澄湖镇)建筑垃圾清运服务采购项目</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标段数：1个标段</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响应文件有效期为90天（日历日）</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服务时间：按实结算，预算金额用完合同终止；或自合同签订之日起一年。</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磋商保证金：不提交，本项目磋商文件内关于磋商保证金的相关规定均不适用。</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签订合同：成交通知书发出之日起30日内</w:t>
            </w:r>
            <w:r>
              <w:rPr>
                <w:color w:val="000000" w:themeColor="text1"/>
              </w:rPr>
            </w:r>
            <w:r/>
          </w:p>
        </w:tc>
      </w:tr>
      <w:tr>
        <w:trPr>
          <w:trHeight w:val="49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现场考察：不组织。因采购类项目种类较为复杂，为达到准确报价要求，投标报价前请投标单位自行做好现场踏勘工作（可自行联系采购方现场人员踏勘现场）开标后投标单位不得以任何形式以不了解现场情况为由提出费用调整。</w:t>
            </w:r>
            <w:r>
              <w:rPr>
                <w:color w:val="000000" w:themeColor="text1"/>
              </w:rPr>
            </w:r>
            <w:r/>
          </w:p>
        </w:tc>
      </w:tr>
      <w:tr>
        <w:trPr>
          <w:trHeight w:val="80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响应文件：应使用“苏采云”系统制作并提交电子版响应文件，未按要求线上递交电子响应文件将被拒收。供应商成交后须提供4套响应文件。</w:t>
            </w:r>
            <w:r>
              <w:rPr>
                <w:color w:val="000000" w:themeColor="text1"/>
              </w:rPr>
            </w:r>
            <w:r/>
          </w:p>
        </w:tc>
      </w:tr>
      <w:tr>
        <w:trPr>
          <w:trHeight w:val="21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电子响应文件上传截止时间：2025年12月16日09:30（北京时间）</w:t>
            </w:r>
            <w:r>
              <w:rPr>
                <w:color w:val="000000" w:themeColor="text1"/>
              </w:rPr>
            </w:r>
            <w:r/>
          </w:p>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上传地点：苏采云政府采购一体化平台</w:t>
            </w:r>
            <w:r>
              <w:rPr>
                <w:color w:val="000000" w:themeColor="text1"/>
              </w:rPr>
            </w:r>
            <w:r/>
          </w:p>
          <w:p>
            <w:pPr>
              <w:ind w:left="0" w:right="0" w:firstLine="0"/>
              <w:jc w:val="both"/>
              <w:spacing w:before="0" w:after="0" w:line="40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本项目为不见面开标项目，开标阶段供应商在【供应商解密】环节必须使用 CA证书解密电子投标文件，如在系统规定的解密时间内未能完成解密的视为放弃投标（响应）。</w:t>
            </w:r>
            <w:r>
              <w:rPr>
                <w:color w:val="000000" w:themeColor="text1"/>
              </w:rPr>
            </w:r>
            <w:r/>
          </w:p>
        </w:tc>
      </w:tr>
      <w:tr>
        <w:trPr>
          <w:trHeight w:val="78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tabs>
                <w:tab w:val="left" w:pos="12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询问：获取磋商文件成功的磋商供应商在下载磋商文件后，对磋商文件有疑问的，可通过邮件（1214506206@qq.com）进行询问。采购代理机构通过邮件予以解答，询问人自行在邮件中查看解答信息。</w:t>
            </w:r>
            <w:r>
              <w:rPr>
                <w:color w:val="000000" w:themeColor="text1"/>
              </w:rPr>
            </w:r>
            <w:r/>
          </w:p>
        </w:tc>
      </w:tr>
      <w:tr>
        <w:trPr>
          <w:trHeight w:val="21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质疑：</w:t>
            </w:r>
            <w:r>
              <w:rPr>
                <w:color w:val="000000" w:themeColor="text1"/>
              </w:rPr>
            </w:r>
            <w:r/>
          </w:p>
          <w:p>
            <w:pPr>
              <w:ind w:left="0" w:right="0" w:firstLine="600"/>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供应商认为本采购文件条款使自己的权益受到损害的，应在知道或者应知权益受到损害之日起七个工作日内，以书面形式向采购代理机构提出质疑。采购代理机构应当在收到磋商供应商书面质疑后七个工作日内作出答复。质疑应符合政府采购质疑和投诉办法(中华人民共和国财政部令第94号)。</w:t>
            </w:r>
            <w:r>
              <w:rPr>
                <w:color w:val="000000" w:themeColor="text1"/>
              </w:rPr>
            </w:r>
            <w:r/>
          </w:p>
          <w:p>
            <w:pPr>
              <w:ind w:left="0" w:right="0" w:firstLine="600"/>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未依照磋商公告要求依法获取磋商文件的供应商，视为未参加该项政府采购活动，不具备对该政府采购项目提出质疑的法定权利。</w:t>
            </w:r>
            <w:r>
              <w:rPr>
                <w:color w:val="000000" w:themeColor="text1"/>
              </w:rPr>
            </w:r>
            <w:r/>
          </w:p>
          <w:p>
            <w:pPr>
              <w:ind w:left="0" w:right="0" w:firstLine="600"/>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接受质疑函的方式：当场送达或邮寄方式。</w:t>
            </w:r>
            <w:r>
              <w:rPr>
                <w:color w:val="000000" w:themeColor="text1"/>
              </w:rPr>
            </w:r>
            <w:r/>
          </w:p>
        </w:tc>
      </w:tr>
      <w:tr>
        <w:trPr>
          <w:trHeight w:val="113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240"/>
              <w:jc w:val="both"/>
              <w:spacing w:before="0" w:after="0" w:line="82"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代理服务费收费标准，由成交供应商在领取成交通知书时付清：</w:t>
            </w:r>
            <w:r>
              <w:rPr>
                <w:color w:val="000000" w:themeColor="text1"/>
              </w:rPr>
            </w:r>
            <w:r/>
          </w:p>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预算金额100万元以下部分，费率为该部分预算金额的1.5%；</w:t>
            </w:r>
            <w:r>
              <w:rPr>
                <w:color w:val="000000" w:themeColor="text1"/>
              </w:rPr>
            </w:r>
            <w:r/>
          </w:p>
          <w:p>
            <w:pPr>
              <w:ind w:left="0" w:right="0" w:firstLine="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预算金额100万元（含）－500万元部分，费率为该部分预算金额的1.1%；</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代理服务费以采购预算金额为基数依据，按以上规定的标准和差额定率累进法进行计算后40%收取。例：如预算金额为150万元，则代理服务费＝[100万元×1.5%＋（150万元－100万元）×1.1%]*40%。如按上述方法计算的金额低于人民币3000元整的，则本项目代理服务费按人民币3000元整计收，最低不低于3000元。</w:t>
            </w:r>
            <w:r>
              <w:rPr>
                <w:color w:val="000000" w:themeColor="text1"/>
              </w:rPr>
            </w:r>
            <w:r/>
          </w:p>
          <w:p>
            <w:pPr>
              <w:ind w:left="0" w:right="0" w:firstLine="480"/>
              <w:jc w:val="both"/>
              <w:spacing w:before="0" w:after="0" w:line="6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代理服务费：6880.00元</w:t>
            </w:r>
            <w:r>
              <w:rPr>
                <w:color w:val="000000" w:themeColor="text1"/>
              </w:rPr>
            </w:r>
            <w:r/>
          </w:p>
        </w:tc>
      </w:tr>
      <w:tr>
        <w:trPr>
          <w:trHeight w:val="48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中标原则：综合评分法</w:t>
            </w:r>
            <w:r>
              <w:rPr>
                <w:color w:val="000000" w:themeColor="text1"/>
              </w:rPr>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评审办法：详见第六章</w:t>
            </w:r>
            <w:r>
              <w:rPr>
                <w:color w:val="000000" w:themeColor="text1"/>
              </w:rPr>
            </w:r>
            <w:r/>
          </w:p>
        </w:tc>
      </w:tr>
      <w:tr>
        <w:trPr>
          <w:trHeight w:val="565"/>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8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564" w:type="dxa"/>
            <w:vAlign w:val="center"/>
            <w:textDirection w:val="lrTb"/>
            <w:noWrap w:val="false"/>
          </w:tcPr>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特别提醒：</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1、本项目支持网上不见面开标，供应商不需到现场参加磋商会。</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本项目采用线上二次报价(及时关注系统，以防错过二次报价)，供应商应登录采购系统并在规定时间内进行线上二次报价。此处规定时间的计算以采购系统中的倒计时间为准。因供应商自身原因导致线上二次报价失败的后果由供应商自行承担。</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3、请供应商确保电脑、系统及其他设备（视频输入输出设备等）无误，且开标直至项目结束始终保持系统在线状态。</w:t>
            </w:r>
            <w:r>
              <w:rPr>
                <w:color w:val="000000" w:themeColor="text1"/>
              </w:rPr>
            </w:r>
            <w:r/>
          </w:p>
        </w:tc>
      </w:tr>
    </w:tbl>
    <w:p>
      <w:pPr>
        <w:ind w:left="0" w:right="0" w:firstLine="522"/>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pStyle w:val="848"/>
        <w:ind w:left="0" w:right="0" w:firstLine="52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u w:val="none"/>
        </w:rPr>
        <w:t xml:space="preserve">第一章竞争性磋商</w:t>
      </w:r>
      <w:r>
        <w:rPr>
          <w:rFonts w:ascii="SimSun" w:hAnsi="SimSun" w:eastAsia="SimSun" w:cs="SimSun"/>
          <w:b/>
          <w:color w:val="000000" w:themeColor="text1"/>
          <w:sz w:val="52"/>
        </w:rPr>
        <w:t xml:space="preserve">公告</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rFonts w:ascii="SimSun" w:hAnsi="SimSun" w:eastAsia="SimSun" w:cs="SimSun"/>
          <w:color w:val="000000" w:themeColor="text1"/>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rFonts w:ascii="Times New Roman" w:hAnsi="Times New Roman" w:eastAsia="Times New Roman" w:cs="Times New Roman"/>
          <w:color w:val="000000" w:themeColor="text1"/>
          <w:sz w:val="26"/>
          <w:szCs w:val="26"/>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szCs w:val="26"/>
        </w:rPr>
      </w:r>
      <w:r>
        <w:rPr>
          <w:color w:val="000000" w:themeColor="text1"/>
        </w:rPr>
      </w:r>
      <w:r/>
    </w:p>
    <w:p>
      <w:pPr>
        <w:ind w:left="0" w:right="0" w:firstLine="260"/>
        <w:jc w:val="both"/>
        <w:spacing w:before="0" w:after="0" w:line="85" w:lineRule="atLeast"/>
        <w:rPr>
          <w:rFonts w:ascii="Times New Roman" w:hAnsi="Times New Roman" w:eastAsia="Times New Roman" w:cs="Times New Roman"/>
          <w:color w:val="000000" w:themeColor="text1"/>
          <w:sz w:val="26"/>
          <w:szCs w:val="26"/>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highlight w:val="none"/>
        </w:rPr>
      </w:r>
      <w:r>
        <w:rPr>
          <w:color w:val="000000" w:themeColor="text1"/>
        </w:rPr>
      </w:r>
      <w:r/>
    </w:p>
    <w:p>
      <w:pPr>
        <w:ind w:left="0" w:right="0" w:firstLine="643"/>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2"/>
        </w:rPr>
        <w:t xml:space="preserve">一、竞争性磋商公告</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项目概况</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2025年度度假区(阳澄湖镇)建筑垃圾清运服务采购项目的潜在磋商供应商应在“苏采云政府采购一体化平台”自行免费下载磋商文件，并于2025年12月16日09点30分（北京时间）前提交响应文件。</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一、项目基本情况</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采购编号：JSZC-320507-PMJS-C2025-0037</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项目名称：2025年度度假区(阳澄湖镇)建筑垃圾清运服务采购项目</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采购方式：竞争性磋商</w:t>
      </w:r>
      <w:r>
        <w:rPr>
          <w:color w:val="000000" w:themeColor="text1"/>
        </w:rPr>
      </w:r>
      <w:r/>
    </w:p>
    <w:p>
      <w:pPr>
        <w:ind w:left="0" w:right="0" w:firstLine="480"/>
        <w:jc w:val="both"/>
        <w:spacing w:before="0" w:after="0" w:line="85" w:lineRule="atLeast"/>
        <w:rPr>
          <w:rFonts w:ascii="SimSun" w:hAnsi="SimSun" w:eastAsia="SimSun" w:cs="SimSun"/>
          <w:color w:val="000000" w:themeColor="text1"/>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szCs w:val="24"/>
        </w:rPr>
        <w:t xml:space="preserve">预算金额：120万元</w:t>
      </w:r>
      <w:r>
        <w:rPr>
          <w:rFonts w:ascii="SimSun" w:hAnsi="SimSun" w:eastAsia="SimSun" w:cs="SimSun"/>
          <w:color w:val="000000" w:themeColor="text1"/>
          <w:sz w:val="24"/>
          <w:szCs w:val="24"/>
        </w:rPr>
      </w:r>
      <w:r/>
    </w:p>
    <w:p>
      <w:pPr>
        <w:ind w:left="0" w:right="0" w:firstLine="480"/>
        <w:jc w:val="both"/>
        <w:spacing w:before="0" w:after="0" w:line="85" w:lineRule="atLeast"/>
        <w:rPr>
          <w:rFonts w:ascii="SimSun" w:hAnsi="SimSun" w:eastAsia="SimSun" w:cs="SimSun"/>
          <w:color w:val="000000" w:themeColor="text1"/>
          <w:sz w:val="24"/>
          <w:szCs w:val="24"/>
          <w14:ligatures w14: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szCs w:val="24"/>
        </w:rPr>
        <w:t xml:space="preserve">最高限价：119.7万元</w:t>
      </w:r>
      <w:r>
        <w:rPr>
          <w:rFonts w:ascii="SimSun" w:hAnsi="SimSun" w:eastAsia="SimSun" w:cs="SimSun"/>
          <w:color w:val="000000" w:themeColor="text1"/>
          <w:sz w:val="24"/>
          <w:szCs w:val="24"/>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szCs w:val="24"/>
        </w:rPr>
        <w:t xml:space="preserve">单价限价：299.25元/吨</w:t>
      </w:r>
      <w:r>
        <w:rPr>
          <w:color w:val="000000" w:themeColor="text1"/>
        </w:rPr>
      </w:r>
      <w:r/>
    </w:p>
    <w:p>
      <w:pPr>
        <w:ind w:left="0" w:right="0" w:firstLine="480"/>
        <w:jc w:val="both"/>
        <w:spacing w:before="0" w:after="0" w:line="85" w:lineRule="atLeast"/>
        <w:tabs>
          <w:tab w:val="left" w:pos="753"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采购需求：度假区（阳澄湖镇）建筑垃圾清运服务。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服务时间：</w:t>
      </w:r>
      <w:r>
        <w:rPr>
          <w:rFonts w:ascii="SimSun" w:hAnsi="SimSun" w:eastAsia="SimSun" w:cs="SimSun"/>
          <w:color w:val="000000" w:themeColor="text1"/>
          <w:sz w:val="24"/>
          <w:u w:val="none"/>
        </w:rPr>
        <w:t xml:space="preserve">按实结算，预算金额用完合同终止；或自合同签订之日起一年。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本项目（是/否）接受联合体投标：否</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二、申请人的资格要求：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1.满足《中华人民共和国政府采购法》第二十二条规定；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1.1具有独立承担民事责任的能力；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1.2具有良好的商业信誉和健全的财务会计制度；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1.3具有履行合同所必须的设备和专业技术能力；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1.4具有依法缴纳税收和社会保障资金的良好记录；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1.5参加政府采购活动前三年内，在经营活动中没有重大违法记录；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1.6法律、行政法规规定的其他条件。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落实政府采购政策需满足的资格要求：</w:t>
      </w:r>
      <w:r>
        <w:rPr>
          <w:rFonts w:ascii="SimSun" w:hAnsi="SimSun" w:eastAsia="SimSun" w:cs="SimSun"/>
          <w:b/>
          <w:color w:val="000000" w:themeColor="text1"/>
          <w:sz w:val="24"/>
        </w:rPr>
        <w:t xml:space="preserve">本项目专门面向中小企业采购，所属行业为其他未列明行业，投标单位须为中小微企业或监狱企业或残疾人福利性单位。</w:t>
      </w:r>
      <w:r>
        <w:rPr>
          <w:color w:val="000000" w:themeColor="text1"/>
        </w:rPr>
      </w:r>
      <w:r/>
    </w:p>
    <w:p>
      <w:pPr>
        <w:numPr>
          <w:ilvl w:val="0"/>
          <w:numId w:val="6"/>
        </w:numPr>
        <w:jc w:val="both"/>
        <w:spacing w:before="0" w:after="0" w:line="85" w:lineRule="atLeast"/>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合格磋商磋商响应单位的特殊条件：无</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注：（1）根据政府采购法及相关法规，招标代理人将对供应商进行信用查询。对列入失信被执行人、重大税收违法案件当事人名单、政府采购严重违法失信行为记录名单的供应商，拒绝其参与政府采购活动；</w:t>
      </w:r>
      <w:r>
        <w:rPr>
          <w:color w:val="000000" w:themeColor="text1"/>
        </w:rPr>
      </w:r>
      <w:r/>
    </w:p>
    <w:p>
      <w:pPr>
        <w:ind w:left="0" w:right="0" w:firstLine="9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（2）为采购项目提供整体设计、规范编制或者项目管理、监理、监测等服务的磋商供应商，不得再参加该采购项目的其他采购活动；</w:t>
      </w:r>
      <w:r>
        <w:rPr>
          <w:color w:val="000000" w:themeColor="text1"/>
        </w:rPr>
      </w:r>
      <w:r/>
    </w:p>
    <w:p>
      <w:pPr>
        <w:ind w:left="0" w:right="0" w:firstLine="9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（3）单位负责人为同一人或者存在直接控股、管理关系的不同磋商供应商，不得参加同一合同项下的政府采购活动。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三、获取采购文件</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时间：磋商公告之日起5个工作日。</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地点：供应商登录苏州市政府采购网站首页下侧“苏采云-已参与项目”中，根据提示，下载招标（采购）文件。 </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方式：网上报名 </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售价：0.00元 </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四、响应文件递交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截止时间：2025年12月16日09：30（北京时间）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地点：苏州市政府采购网站-苏采云系统</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五、开启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时间：2025年12月16日09：30（北京时间）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szCs w:val="24"/>
        </w:rPr>
        <w:t xml:space="preserve">地点：</w:t>
      </w:r>
      <w:r>
        <w:rPr>
          <w:rFonts w:ascii="SimSun" w:hAnsi="SimSun" w:eastAsia="SimSun" w:cs="SimSun"/>
          <w:color w:val="000000" w:themeColor="text1"/>
          <w:sz w:val="24"/>
          <w:szCs w:val="24"/>
        </w:rPr>
        <w:t xml:space="preserve">苏州市市辖区【相城】谈判磋商文件递交室（2）</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六、公告期限</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自本公告发布之日起3个工作日。</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七</w:t>
      </w:r>
      <w:r>
        <w:rPr>
          <w:rFonts w:ascii="SimSun" w:hAnsi="SimSun" w:eastAsia="SimSun" w:cs="SimSun"/>
          <w:b/>
          <w:color w:val="000000" w:themeColor="text1"/>
          <w:sz w:val="24"/>
        </w:rPr>
        <w:t xml:space="preserve">、其他补充事宜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项目为网上招投标项目，供应商应在“苏州市政府采购网-苏采云-项目参与-采购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2、本项目支持网上不见面开标，</w:t>
      </w:r>
      <w:r>
        <w:rPr>
          <w:rFonts w:ascii="SimSun" w:hAnsi="SimSun" w:eastAsia="SimSun" w:cs="SimSun"/>
          <w:b/>
          <w:color w:val="000000" w:themeColor="text1"/>
          <w:sz w:val="24"/>
        </w:rPr>
        <w:t xml:space="preserve">供应商不需到现场参加磋商会，开标阶段供应商在【供应商解密】环节必须使用 CA证书解密电子投标（响应）文件，如在系统规定的解密时间内未能完成解密的视为放弃投标（响应）。</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响应文件制作完成后请于截止前成功上传至“苏采云”系统，未按要求线上递交电子投标（响应）文件视为放弃参加该采购项目。供应商应充分考虑到网络环境、网络带宽等风险因素，如因供应商自身原因造成的电子投标文件上传不成功由供应商自行承担全部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4、线上参加（观看）开标会方式：苏州市政府采购网点击“苏采云”进入交易系统，点击“开标大厅-我的项目”，找到对应项目</w:t>
      </w:r>
      <w:r>
        <w:rPr>
          <w:rFonts w:ascii="SimSun" w:hAnsi="SimSun" w:eastAsia="SimSun" w:cs="SimSun"/>
          <w:color w:val="000000" w:themeColor="text1"/>
          <w:sz w:val="24"/>
          <w:highlight w:val="white"/>
        </w:rPr>
        <w:t xml:space="preserve">进入不见面开标系统</w:t>
      </w:r>
      <w:r>
        <w:rPr>
          <w:rFonts w:ascii="SimSun" w:hAnsi="SimSun" w:eastAsia="SimSun" w:cs="SimSun"/>
          <w:color w:val="000000" w:themeColor="text1"/>
          <w:sz w:val="24"/>
        </w:rPr>
        <w:t xml:space="preserve">。</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5、请供应商确保电脑、系统及其他设备（视频输入输出设备等）无误，且开标直至项目结束始终保持系统在线状态。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6、CA办理及使用指南： 根据省财政厅《关于更换全省政府采购交易系统C A数字证书和电子签章的通知》（苏财购〔2023〕101号），“苏采云”政府采购交易系统（以下简称苏采云系统）的CA数字证书、电子签章为江苏省电子政务证书认证中心CA和方正国际软件（北京）有限公司电子签章。具体办理指南和操作手册见苏州市政府采购网苏采云登陆页面右下角点击【新CA办理指南】--江苏省政府采购数字证书（供应商)数字证书CA及电子签章办理指南。苏州现场办理地址：苏州市姑苏区平泷路251号政务服务中心4楼公共交易中心窗口，咨询电话</w:t>
      </w:r>
      <w:r>
        <w:rPr>
          <w:rFonts w:ascii="SimSun" w:hAnsi="SimSun" w:eastAsia="SimSun" w:cs="SimSun"/>
          <w:color w:val="000000" w:themeColor="text1"/>
          <w:sz w:val="24"/>
        </w:rPr>
        <w:t xml:space="preserve">：0512-69820834。</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进入“苏采云”政府采购交易系统后按照《苏采云系统供应商操作手册》（以下简称《操作手册》）、进行注册并按《操作手册》要求制作、上传电子响应文件。供应商可在采购系统中下载《苏采云系统供应商操作手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7、考虑到熟悉苏采云系统操作需要一定的时间，请提早准备以免耽误采购活动。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供应商应及时关注政府采购信息发布媒体上发布的更正（补充）公告，同时在苏采云系统中下载更正（补充）资料，如有遗漏（包括但不限于文件未下载或下载不完整），所造成的投标失败或损失由供应商自行负责。</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9、投标人（供应商）应自行在苏采云政府采购一体化平台上下载/获取招标（采购）文件及其澄清（答疑）、工程量清单、图纸等相关招标（采购）资料，恕不另行通知。</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10、采购项目需要落实的政府采购政策：</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（1）财政部、工业和信息化部《政府采购促进中小企业发展管理办法》。</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（2）苏州市财政局《关于贯彻执行绿色采购、促进残疾人就业和支持监狱企业发展有关政策的通知（苏财购〔2020〕10号）》。</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（3）财库【2022】19号关于进一步加大政府采购支持中小企业力度的通知。</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（4）苏财购【2022】16号关于印发《苏州市政府采购促进中小企业发展实施意见》的通知。</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11、请贵单位领取本次采购文件后，认真阅读各项内容，进行必要的磋商准备，按文件的要求详细填写和编制响应文件。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12、苏州相城区采购监督电话：0512-67591006、0512-67591005。</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13、本次采购的有关信息将在苏州市政府采购网、江苏政府采购网、中国政府采购网</w:t>
      </w:r>
      <w:r>
        <w:rPr>
          <w:rFonts w:ascii="SimSun" w:hAnsi="SimSun" w:eastAsia="SimSun" w:cs="SimSun"/>
          <w:color w:val="000000" w:themeColor="text1"/>
          <w:sz w:val="24"/>
        </w:rPr>
        <w:t xml:space="preserve">上发布</w:t>
      </w:r>
      <w:r>
        <w:rPr>
          <w:rFonts w:ascii="SimSun" w:hAnsi="SimSun" w:eastAsia="SimSun" w:cs="SimSun"/>
          <w:color w:val="000000" w:themeColor="text1"/>
          <w:sz w:val="24"/>
        </w:rPr>
        <w:t xml:space="preserve">，敬请留意。</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14、技术支持</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注册咨询：18261002950；</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CA技术咨询电话：400-608-6099；</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签章使用问题：025-83633811、025-83633812、15380932027、15371015030；</w:t>
      </w:r>
      <w:r>
        <w:rPr>
          <w:color w:val="000000" w:themeColor="text1"/>
        </w:rPr>
      </w:r>
      <w:r/>
    </w:p>
    <w:p>
      <w:pPr>
        <w:ind w:left="0" w:right="0" w:firstLine="4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系统使用指导与咨询：联系电话：18261002950、13914088964；QQ：3048755361、1315179389、895706745。</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八、凡对本次采购提出询问，请按以下方式联系。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1.采购人信息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名称：</w:t>
      </w:r>
      <w:r>
        <w:rPr>
          <w:rFonts w:ascii="SimSun" w:hAnsi="SimSun" w:eastAsia="SimSun" w:cs="SimSun"/>
          <w:color w:val="000000" w:themeColor="text1"/>
          <w:sz w:val="24"/>
        </w:rPr>
        <w:t xml:space="preserve">苏州市相城区阳澄湖镇人民政府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联系地址：苏州市相城区阳澄湖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联系人：唐建生</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联系方式：0512-68130325</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2.采购代理机0512-68130325构信息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名称：江苏京苏项目管理咨询有限公司</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　　址：苏州工业园区东环路1400号综艺开元大厦15楼会议室1502</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联系方式：0512-67256848-1647</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none"/>
        </w:rPr>
        <w:t xml:space="preserve">3.项目联系方式</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项目联系人：顾苏芯、周东星、俞莉</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　　 话：0512-67256848-1647</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pStyle w:val="848"/>
        <w:ind w:left="0" w:right="0" w:firstLine="52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第二章 磋商供应商须知</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 说明</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1.1本磋商采购文件仅适用于江苏京苏项目管理咨询有限公司组织的采购活动。</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1.2本次采购活动及因本次采购产生的合同受中国法律制约和保护。</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1.3本磋商采购文件的解释权属于江苏京苏项目管理咨询有限公司。</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 词语释义</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2.1采购人：依法进行政府采购的各级国家机关、事业单位、团体组织。</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2.2磋商供应商：指向采购人提供货物、工程或服务的法人、其他组织或者自然人。</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2.3采购代理机构：指依法接受采购人委托，从事货物、工程和服务等政府采购代理业务的社会中介机构。</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2.4磋商采购单位：采购人及采购代理机构的统称，具体组织实施磋商采购活动。</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2.5响应：磋商供应商根据采购人发布的磋商文件，编制响应文件并按规定参与磋商的行为。</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2.6知识产权：指专利权、商标权、著作权等无形财产专有权的统称。</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2.7天：日历日。</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2.8服务地点：合同中明确约定的乙方服务的最终地点。</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2.9不可抗力：不能预见、不能避免并且不能克服的客观情况。</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2.10实质性响应：满足有关本次采购标的、数量、质量、价款或者报酬、履行期限、履行地点和方式、违约责任和解决争议方法等要求。</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2.11书面形式：指书面文字、合同书、信件和传真等可以有形地表现所载内容的形式。</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2.12扫描件：指原件的各种彩色复制件，包括扫描、照片等。</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3.合格磋商供应商的一般条件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按磋商公告</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4.合格磋商供应商的特殊条件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按磋商公告</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 磋商供应商代表</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5.1指全权代表磋商供应商参加磋商采购活动并签署响应文件的人，如果磋商供应商代表不是法人代表，须持有《法人代表授权委托书》（详见附件格式）。</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 磋商费用</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6.1无论磋商过程中的做法和结果如何，磋商供应商自行承担所有与参加磋商有关的全部费用。</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 联合体</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本项目不接受联合体投标。</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 磋商采购文件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8.1供应商获取磋商文件后，应仔细检查磋商文件的所有内容，如有残缺等问题应向磋商采购单位提出，否则，由此产生的影响由供应商自己承担。供应商同时应认真审阅磋商文件中所有的事项、格式、条款和规范要求等，若供应商的响应文件没有按磋商文件要求提交全部资料，或响应文件没有对磋商文件做出实质性响应，其风险由供应商自行承担，并根据有关条款规定，该响应有可能被拒绝。</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8.2供应商如有疑问需要澄清，请按照前附表进行询问，代理机构收到询问后应在三个工作日内予以解答。</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8.3 磋商文件及其补充文件不是直接从磋商采购单位处获得的，磋商采购单位对磋商文件及其补遗的真实性、完整性不承担任何责任。</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9.现场考察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9.1供应商应按磋商文件中所述时间和方式对有关现场和周围环境进行考察，以获取编制响应文件和签署合同所需的信息。考察现场所发生的费用由供应商自己承担。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9.2磋商采购单位向供应商提供的有关现场的资料和数据，是磋商采购单位现有的并认为能使供应商可利用的资料。磋商采购单位对供应商由此而做出的推论、理解和结论概不负责。</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9.3 经磋商采购单位允许，供应商可为考察目的进入磋商采购单位的项目现场，但供应商不得因此使磋商采购单位承担有关的责任和蒙受损失。供应商应承担考察现场的责任和风险。</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9.4供应商应在现场考察时，熟悉现场及周围交通道路等情况，以获得一切可能影响其投标的直接资料。供应商成交后，不得以不完全了解现场情况为理由而向磋商采购单位提出任何索赔的要求，对此磋商采购单位不承担任何责任并将不作任何答复与考虑。</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10. 磋商采购文件的澄清和修改</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10.1在递交响应文件截止时间前，采购人、采购代理机构无论出于自己的考虑，还是出于对磋商供应商提问的澄清，均可对磋商文件用更正（补充）文件的方式进行修改。</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10.2采购人、采购代理机构对磋商文件的修改，将以更正（补充）文件的方式在苏州政府采购网上进行发布。更正（补充）文件将作为磋商文件的组成部分，对所有磋商供应商有约束力。</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10.3为使磋商供应商有足够的时间按磋商文件的修改要求考虑修正响应文件，或出于其他原因，采购人、采购代理机构有权推迟截止日期和磋商日期。</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10.4磋商文件的澄清、修改、补充等内容均以网上发布的内容为准。当磋商文件、磋商文件的澄清、修改、补充等在同一内容的表述上不一致时，以网上发布的为准。</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11. 响应文件计量单位和使用文字</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11.1响应文件中所使用的计量单位，除磋商文件中有特殊要求外，均应使用中华人民共和国法定计量单位。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11.2响应文件应使用中文编制，响应文件中必须使用其他文字的，必须附有中文译本，且以中文译本为准。对于未附有中文译本和中文译本不准确的响应文件可能引起的对供应商不利的后果，磋商采购单位概不负责。</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 响应文件的组成</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12.1响应文件一（报价部分）(格式见第三章)：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12.1.1授权委托书（非法定代表人参加磋商的提供）；</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12.1.2响应函；</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12.1.3响应总报价表；</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12.1.4响应分项报价表；</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12.2响应文件二（资格及技术部分）：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12.2.1 关于资格文件的声明函（格式见第三章）；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12.2.2 磋商供应商情况表、供应商与其他单位存在控股、管理关系情况表（格式见第三章）；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12.2.3磋商供应商法定代表人身份证扫描件；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12.2.4磋商供应商代理人身份证扫描件及响应单位为其缴纳的社保证明扫描件（非法定代表人参加磋商的提供）；</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12.2.5磋商供应商证明其满足合格磋商供应商资格基本条件的证明材料:</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（1）具有独立承担民事责任的能力证明：包括法人或者其他组织的营业执照等证明文件，自然人身份证明扫描件；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（2）具有良好的商业信誉和健全的财务会计制度证明：最近一期财务报表或其基本开户银行出具的资信证明扫描件；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（3）具备履行合同所必需的设备和专业技术能力的证明材料扫描件或承诺函；</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有依法缴纳税收和社会保障资金的良好记录:包括税务登记证（如有）和最新一期依法缴纳税收的凭据，如为依法免税或不需要缴纳的，供应商则须提供对应证明资料；提供近三个月内依法缴纳社会保险的凭据（专用收据或社会保险缴纳清单）的相关材料扫描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（5）参加政府采购活动前三年内在经营活动中没有重大违法记录的书面声明函；</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12.2.6偏离表；</w:t>
      </w:r>
      <w:r>
        <w:rPr>
          <w:color w:val="000000" w:themeColor="text1"/>
        </w:rPr>
      </w:r>
      <w:r/>
    </w:p>
    <w:p>
      <w:pPr>
        <w:ind w:left="0" w:right="0" w:firstLine="4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12.2.7中小企业声明函（格式见第三章）或残疾人福利性单位声明函（格式见第三章）或监狱企业证明文件；</w:t>
      </w:r>
      <w:r>
        <w:rPr>
          <w:rFonts w:ascii="SimSun" w:hAnsi="SimSun" w:eastAsia="SimSun" w:cs="SimSun"/>
          <w:b/>
          <w:color w:val="000000" w:themeColor="text1"/>
          <w:sz w:val="24"/>
          <w:u w:val="single"/>
        </w:rPr>
        <w:t xml:space="preserve">(注：若提供中小企业声明函或残疾人福利性单位声明函或监狱企业证明文件须加盖有公章的彩色扫描件上传至电子投标文件。)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12.2.8服务方案；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12.2.9《人员配备一览表》（格式见第三章）及服务期间人员配备方案；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12.2.10《类似业绩一览表》（格式见第三章）；</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12.2.11磋商供应商证明其为合格磋商供应商及评分标准中涉及的证书、证明、文件等资料。</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注：供应商应提交以上12.1.1-12.2.7条完整响应文件。否则，响应文件将因资格条件不符或未实质响应磋商文件而被拒绝。</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12.3 响应文件由12.1、12.2款规定的内容共同组成。</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 电子响应文件编制及提交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13.1本项目为网上招投标项目，供应商应登陆苏采云系统、线上获取招标（采购）文件，线上获取更正（补充）文件、对投标（响应）文件进行电子签章、线上递交投标（响应）文件；应使用电子投标文件制作工具制作电子版投标（响应）文件。</w:t>
      </w:r>
      <w:r>
        <w:rPr>
          <w:rFonts w:ascii="SimSun" w:hAnsi="SimSun" w:eastAsia="SimSun" w:cs="SimSun"/>
          <w:b/>
          <w:color w:val="000000" w:themeColor="text1"/>
          <w:sz w:val="24"/>
        </w:rPr>
        <w:t xml:space="preserve">电子投标（响应）文件制作完成后请于上传截止前成功上传，未按要求线上递交电子投标（响应）文件将被拒收。</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13.2电子投标（响应）文件制作工具下载：</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电子投标文件制作工具下载：详见苏州市政府采购网-苏采云登陆页面右下角点击驱动下载。使用指南见《苏采云系统供应商操作手册》。</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13.3电子投标（响应）文件制作与提交：</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供应商根据《苏采云系统供应商操作手册》进行操作。制作电子投标文件时必须与投标文件制作软件目录一一对应，将相关资料上传至相应模块。</w:t>
      </w:r>
      <w:r>
        <w:rPr>
          <w:rFonts w:ascii="SimSun" w:hAnsi="SimSun" w:eastAsia="SimSun" w:cs="SimSun"/>
          <w:b/>
          <w:color w:val="000000" w:themeColor="text1"/>
          <w:sz w:val="24"/>
        </w:rPr>
        <w:t xml:space="preserve">需对投标（响应）文件中涉及的扫描件（复印件）及需要加盖公章的部分进行签章，否则视为未提供相对应项。</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13.4投标（响应）文件制作完成后导出投标（响应）文件，在“参与详情”页面上传已制作完成的投标（响应）文件。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13.5投标（响应）文件提交后，供应商可通过模拟解密操作检测投标（响应）文件是否可以正常解密。</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13.6</w:t>
      </w:r>
      <w:r>
        <w:rPr>
          <w:rFonts w:ascii="SimSun" w:hAnsi="SimSun" w:eastAsia="SimSun" w:cs="SimSun"/>
          <w:b/>
          <w:color w:val="000000" w:themeColor="text1"/>
          <w:sz w:val="24"/>
          <w:u w:val="single"/>
        </w:rPr>
        <w:t xml:space="preserve">因本章“12.响应文件的组成及要求”要求的中小企业声明函、残疾人福利性单位声明函要求的文件需在成交公告时对外公示，故磋商供应商如涉及需要提供“12.响应文件的组成及要求”要求的中小企业声明函、残疾人福利性单位声明函的文件时，必须将签章上传至电子投标文件中。</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13.7供应商应在采购系统中选择已制作好的响应文件进行上传，上传必须在投标（响应）截止时间前完成。</w:t>
      </w:r>
      <w:r>
        <w:rPr>
          <w:rFonts w:ascii="SimSun" w:hAnsi="SimSun" w:eastAsia="SimSun" w:cs="SimSun"/>
          <w:b/>
          <w:color w:val="000000" w:themeColor="text1"/>
          <w:sz w:val="24"/>
        </w:rPr>
        <w:t xml:space="preserve">未按要求成功上传的投标（响应）文件视为未递交。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13.8联合体投标：本项目不涉及。</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如招标（采购）公告中允许联合体投标，联合体投标的投标（响应）文件制作上传操作如下：</w:t>
      </w:r>
      <w:r>
        <w:rPr>
          <w:color w:val="000000" w:themeColor="text1"/>
        </w:rPr>
      </w:r>
      <w:r/>
    </w:p>
    <w:p>
      <w:pPr>
        <w:ind w:left="0" w:right="0" w:firstLine="480"/>
        <w:jc w:val="both"/>
        <w:spacing w:before="0" w:after="0" w:line="85" w:lineRule="atLeast"/>
        <w:tabs>
          <w:tab w:val="left" w:pos="142" w:leader="none"/>
          <w:tab w:val="left" w:pos="6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第一步：在投标（响应）文件中上传联合体投标协议书。</w:t>
      </w:r>
      <w:r>
        <w:rPr>
          <w:color w:val="000000" w:themeColor="text1"/>
        </w:rPr>
      </w:r>
      <w:r/>
    </w:p>
    <w:p>
      <w:pPr>
        <w:ind w:left="0" w:right="0" w:firstLine="480"/>
        <w:jc w:val="both"/>
        <w:spacing w:before="0" w:after="0" w:line="85" w:lineRule="atLeast"/>
        <w:tabs>
          <w:tab w:val="left" w:pos="142" w:leader="none"/>
          <w:tab w:val="left" w:pos="60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第二步：在投标（响应）文件中，由联合体中的牵头人制作投标（响应）文件。</w:t>
      </w:r>
      <w:r>
        <w:rPr>
          <w:color w:val="000000" w:themeColor="text1"/>
        </w:rPr>
      </w:r>
      <w:r/>
    </w:p>
    <w:p>
      <w:pPr>
        <w:ind w:left="0" w:right="0" w:firstLine="482"/>
        <w:jc w:val="both"/>
        <w:spacing w:before="0" w:after="0" w:line="85" w:lineRule="atLeast"/>
        <w:tabs>
          <w:tab w:val="left" w:pos="50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备注：响应文件中的CA证书签章为有效签名章。</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14. 报价（编制）要求的说明</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14.1除非合同中另有规定，磋商供应商对《响应报价表》中的报价应包括但不限于完成本项目所需全部费用，报价包括全部服务所需的人工费（含奖金、社会保障金、加班费等）、通讯费、交通费、机械费、成交服务费、管理、保险、利润、税金、政策性文件规定及合同包含的所有风险、责任等完成本项目的各项应有费用，报价中还包括耗材、劳保、各种税费及政策性文件规定及合同包含的所有风险、责任等各项应有费用。我们接受除非合同条款中另有规定，否则合同价格在合同实施期间不因市场因素、政策规定变更因素等任何因素调整。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14.2磋商报价编制要求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14.2.1根据提供的磋商文件及有关资料单独编制相关的磋商报价并汇总填入《响应报价表》；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14.3磋商供应商应按《响应报价表》中的全部服务计算单价和总价。《响应报价表》中的每一单项均应计算并填写单价和总价。如发现响应报价中有错算现象，一旦成交，供应商自行承担错算这部分的经济损失。</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14.4磋商供应商应对磋商文件内所要采购的全部内容进行报价，只响应其中部分内容者，其响应文件将被拒绝。但如果磋商文件要求分标段磋商的，则磋商供应商可以有选择地只响应其中一个或几个标段，也可以投全部标段，但各标段应分别计算填写单价和总价。</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14.5一项内容只允许一个报价，采购人不接受任何有选择性的报价。</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14.6响应文件报价中的单价和总价全部采用人民币表示，除非合同的特殊条款另有规定。</w:t>
      </w:r>
      <w:r>
        <w:rPr>
          <w:color w:val="000000" w:themeColor="text1"/>
        </w:rPr>
      </w:r>
      <w:r/>
    </w:p>
    <w:p>
      <w:pPr>
        <w:ind w:left="0" w:right="0" w:firstLine="463"/>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15. 磋商保证金（本项目无需提交磋商保证金，本磋商文件内磋商保证金相关规定均不适用）。</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16. 响应文件的有效期</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16.1响应文件的有效期见前附表，在此期间内，响应文件应保持有效。有效期短于这个规定期限的响应，将被拒绝。</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16.2在特殊情况下，磋商采购单位可与磋商供应商协商延长响应文件的有效期。这种要求和答复都应以书面的形式进行。同意延长有效期的磋商供应商不能修改响应文件。拒绝接受延期要求的磋商供应商的投标将被拒绝。</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17. 响应文件的标记</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17.1磋商供应商应根据《苏采云系统供应商操作手册》进行操作。制作电子投标文件时必须与投标文件制作软件目录一一对应，将相关资料上传至相应模块。</w:t>
      </w:r>
      <w:r>
        <w:rPr>
          <w:rFonts w:ascii="SimSun" w:hAnsi="SimSun" w:eastAsia="SimSun" w:cs="SimSun"/>
          <w:b/>
          <w:color w:val="000000" w:themeColor="text1"/>
          <w:sz w:val="24"/>
        </w:rPr>
        <w:t xml:space="preserve">需对投标（响应）文件中涉及的扫描件（复印件）及需要加盖公章的部分进行签章，否则视为未提供相对应项。</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18. 截止时间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18.1电子响应文件按照制作要求在响应文件提交截止时间前上传系统提交。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18.2磋商供应商应当在磋商文件要求的截止时间前，将响应文件上传系统，未按要求线上递交电子响应文件，采购人、采购代理机构或者磋商小组应当拒收。</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18.3在响应文件截止时间止采购人收到的响应文件递交份数少于三份，采购人有权宣布本次采购失败。</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19. 响应文件的修改和撤回</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19.1磋商供应商在提交响应文件后可在系统中对其响应文件进行修改或撤销。</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19.2 开启后磋商供应商不得撤回响应文件。</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20. 磋商程序</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w:t>
      </w:r>
      <w:r>
        <w:rPr>
          <w:rFonts w:ascii="SimSun" w:hAnsi="SimSun" w:eastAsia="SimSun" w:cs="SimSun"/>
          <w:b/>
          <w:color w:val="000000" w:themeColor="text1"/>
          <w:sz w:val="24"/>
        </w:rPr>
        <w:t xml:space="preserve">供应商不需到现场参加开标会</w:t>
      </w:r>
      <w:r>
        <w:rPr>
          <w:rFonts w:ascii="SimSun" w:hAnsi="SimSun" w:eastAsia="SimSun" w:cs="SimSun"/>
          <w:b/>
          <w:color w:val="000000" w:themeColor="text1"/>
          <w:sz w:val="24"/>
          <w:u w:val="single"/>
        </w:rPr>
        <w:t xml:space="preserve">(但请及时关注系统公告栏及语音播报，以防错过二次报价)。</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20.2线上参加（观看）开标会方式：苏州市政府采购网点击“苏采云”进入交易系统，点击“开标大厅-我的项目”，找到对应项目进行线上参加（观看）。</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20.3开标时，供应商的响应文件须在供应商解密环节进行解密，在解密时长倒计时结束前，供应商需解密完成，否则视为放弃本次投标（磋商）。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20.4解密完成后，供应商可通过查看“磋商响应”菜单查看是否被邀请磋商。供应商进入采购包磋商列表界面，点击【响应】按钮进行响应。页面弹出磋商要求函，供应商需要在倒计时结束后，点击【我知道了】，完善磋商回复栏内容后，进行签章提交。开标大厅显示“立即报价”后，供应商须在报价结束时间前进行报价，报价结束时间未进行报价，则视为放弃报价。报价结束时间前可修改最后报价，点击【修改报价】按钮进行修改，倒计时结束后，点击我知道了。最后报价结束，若需要修改报价信息，可在剩余时间之内进行撤销，重新报价。 </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20.5开评审结果在磋商结束后，供应商通过邮件进行咨询，未通过相关途径进行询问导致的对供应商不利的后果由供应商自行承担。</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20.6本项目采用线上澄清：</w:t>
      </w:r>
      <w:r>
        <w:rPr>
          <w:color w:val="000000" w:themeColor="text1"/>
        </w:rPr>
      </w:r>
      <w:r/>
    </w:p>
    <w:p>
      <w:pPr>
        <w:ind w:left="0" w:right="0" w:firstLine="60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color w:val="000000" w:themeColor="text1"/>
        </w:rPr>
      </w:r>
      <w:r/>
    </w:p>
    <w:p>
      <w:pPr>
        <w:ind w:left="0" w:right="0" w:firstLine="60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评审中需要供应商进行澄清的通知会通过苏采云系统发出，供应商应及时登录采购系统查看澄清要求并在规定的时间内按要求进行线上答复，否则视为未实质性响应。</w:t>
      </w:r>
      <w:r>
        <w:rPr>
          <w:color w:val="000000" w:themeColor="text1"/>
        </w:rPr>
      </w:r>
      <w:r/>
    </w:p>
    <w:p>
      <w:pPr>
        <w:ind w:left="0" w:right="0" w:firstLine="480"/>
        <w:jc w:val="both"/>
        <w:spacing w:before="260" w:after="12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有关澄清的答复应在系统内采用书面形式，该书面签复应有投标人签(盖)章，并将作为投标内容的一部分。</w:t>
      </w:r>
      <w:r>
        <w:rPr>
          <w:color w:val="000000" w:themeColor="text1"/>
        </w:rPr>
      </w:r>
      <w:r/>
    </w:p>
    <w:p>
      <w:pPr>
        <w:ind w:left="0" w:right="0" w:firstLine="480"/>
        <w:jc w:val="both"/>
        <w:spacing w:before="260" w:after="12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线上澄清答复的方式：当发起答疑澄清时，页面弹出处理答疑澄清消息菜单，点击反馈进入-点击【响应】-填写询问响应内容后，进行询问响应函签章。</w:t>
      </w:r>
      <w:r>
        <w:rPr>
          <w:color w:val="000000" w:themeColor="text1"/>
        </w:rPr>
      </w:r>
      <w:r/>
    </w:p>
    <w:p>
      <w:pPr>
        <w:ind w:left="0" w:right="0" w:firstLine="480"/>
        <w:jc w:val="both"/>
        <w:spacing w:before="260" w:after="12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评审结束后系统公告中会提示评审流程结束，供应商可离开电脑。</w:t>
      </w:r>
      <w:r>
        <w:rPr>
          <w:color w:val="000000" w:themeColor="text1"/>
        </w:rPr>
      </w:r>
      <w:r/>
    </w:p>
    <w:p>
      <w:pPr>
        <w:ind w:left="0" w:right="0" w:firstLine="463"/>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20.7本项目采用线上二次报价</w:t>
      </w:r>
      <w:r>
        <w:rPr>
          <w:rFonts w:ascii="SimSun" w:hAnsi="SimSun" w:eastAsia="SimSun" w:cs="SimSun"/>
          <w:b/>
          <w:color w:val="000000" w:themeColor="text1"/>
          <w:sz w:val="24"/>
          <w:u w:val="single"/>
        </w:rPr>
        <w:t xml:space="preserve">(及时关注“苏采云”系统公告栏和语音播报信息，以防错过二次报价)</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20.8供应商未按规定时间及要求递交二次报价的，视为放弃本次投标（响应）。</w:t>
      </w:r>
      <w:r>
        <w:rPr>
          <w:color w:val="000000" w:themeColor="text1"/>
        </w:rPr>
      </w:r>
      <w:r/>
    </w:p>
    <w:p>
      <w:pPr>
        <w:ind w:left="0" w:right="0" w:firstLine="518"/>
        <w:jc w:val="both"/>
        <w:spacing w:before="0" w:after="0" w:line="85" w:lineRule="atLeast"/>
        <w:tabs>
          <w:tab w:val="left" w:pos="260"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20.9磋商结束后，磋商小组要求所有实质性响应的供应商应登录采购系统并在规定时间内进行线上二次报价即最后报价，提交最后报价的供应商不足3家的，磋商采购失败。除因磋商文件修改导致成本增加外，</w:t>
      </w:r>
      <w:r>
        <w:rPr>
          <w:rFonts w:ascii="SimSun" w:hAnsi="SimSun" w:eastAsia="SimSun" w:cs="SimSun"/>
          <w:b/>
          <w:color w:val="000000" w:themeColor="text1"/>
          <w:sz w:val="24"/>
        </w:rPr>
        <w:t xml:space="preserve">最后报价不得高于一次报价，否则为无效响应报价。</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20.10评审小组认为供应商的报价明显低于其他通过符合性审查供应商的报价或低于单价限价或最高限价的45%，有可能影响产品质量或者不能诚信履约的，有权要求供应商在评审现场合理的时间内提供书面说明及相关证明材料；供应商不提供书面说明、证明材料，或者提供的书面说明、证明材料不能证明其报价合理性的，评审小组应当将其作为无效投标处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20.11经磋商确定最终采购需求和提交最后报价的供应商后，由磋商小组采用综合评分法对提交最后报价的供应商的响应文件和最后报价进行综合评分。</w:t>
      </w:r>
      <w:r>
        <w:rPr>
          <w:color w:val="000000" w:themeColor="text1"/>
        </w:rPr>
      </w:r>
      <w:r/>
    </w:p>
    <w:p>
      <w:pPr>
        <w:ind w:left="0" w:right="0" w:firstLine="4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20.12由于开标现场监控传输路径与开标信息传输路径不同，会造成网页显示时间与监控图像显示时间不同。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20.13技术支持</w:t>
      </w:r>
      <w:r>
        <w:rPr>
          <w:color w:val="000000" w:themeColor="text1"/>
        </w:rPr>
      </w:r>
      <w:r/>
    </w:p>
    <w:p>
      <w:pPr>
        <w:ind w:left="0" w:right="0" w:firstLine="2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CA技术咨询电话：400-608-6099；</w:t>
      </w:r>
      <w:r>
        <w:rPr>
          <w:color w:val="000000" w:themeColor="text1"/>
        </w:rPr>
      </w:r>
      <w:r/>
    </w:p>
    <w:p>
      <w:pPr>
        <w:ind w:left="0" w:right="0" w:firstLine="2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签章使用问题：025-83633811、025-83633812、15380932027、15371015030；</w:t>
      </w:r>
      <w:r>
        <w:rPr>
          <w:color w:val="000000" w:themeColor="text1"/>
        </w:rPr>
      </w:r>
      <w:r/>
    </w:p>
    <w:p>
      <w:pPr>
        <w:ind w:left="0" w:right="0" w:firstLine="2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系统使用指导与咨询：联系电话：18261002950；QQ：3048755361、1315179389、895706745。</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21. 磋商小组</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21.1磋商小组由采购人依法组建，由采购人代表、专家评委组成。</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21.2磋商小组与参加采购活动的供应商存在下列利害关系之一的，应当回避：</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（一）参加采购活动前三年内，与投标人存在劳动关系、或者担任过投标人的董事、监事，或者是投标人的控股股东或实际控制人；</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（二）与投标人的法定代表人或者负责人有夫妻、直系血亲、三代以内旁系血亲或者近姻亲关系；</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（三）与投标人有其他影响政府采购活动公平、公正进行的关系。</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磋商小组发现本人与参加采购活动的供应商有利害关系的，应当主动提出回避。采购人或采购代理机构发现评审专家与参加采购活动的供应商有利害关系的，应当要求其回避。</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21.3磋商小组负责具体的磋商事务，并独立履行以下职责：</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21.3.1审查响应文件是否符合磋商采购文件的要求，并作出评价；</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21.3.2可以要求磋商供应商对响应文件有关事项作出解释或澄清；</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21.3.3推荐成交候选磋商供应商名单；</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21.3.4向采购人或者有关部门报告非法干预磋商工作的行为。</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21.4磋商小组成员应当履行下列义务：</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21.4.1遵纪守法，客观、公正、廉洁地履行职责；</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21.4.2按照磋商采购文件规定的评审办法和评分标准进行评审，对评审意见承担个人责任；</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21.4.3对磋商过程和结果，以及磋商供应商的商业秘密保密；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21.4.4参与评审报告的起草；</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21.4.5配合相关部门的投诉处理工作；</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21.4.6配合采购人答复磋商供应商提出的质疑。</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22. 评审内容的保密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22.1磋商开始后，直到宣布授予成交单位合同为止，凡属于审查、澄清、评价和比较响应文件的所有资料，有关授予合同的信息都不应向磋商供应商或与评审无关的其他人泄露。</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22.2在响应文件的审查、澄清、评价和比较以及授予合同的过程中，磋商供应商对采购人和磋商小组施加影响的任何行为，都将取消其成交资格。</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22.3在评审期间，采购人将通过指定联络人与磋商供应商进行联系。</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23. 对响应文件初审</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开始磋商后，磋商小组将审查响应文件是否实质性响应磋商采购文件的要求、内容是否完整、价格构成有无计算错误、文件签署是否齐全等，响应文件有下列情况之一者，且磋商小组认为在磋商承诺函中无法修正的则有权将其拒绝：</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23.1.1磋商供应商的响应文件未按照本须知规定制作的；</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23.1.2未按本须知规定提交资格文件；</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23.1.3与磋商采购文件有重大偏离；</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23.1.4磋商供应商拒绝修正错误；</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23.1.5磋商供应商的报价是选择性的；</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23.1.6磋商供应商的报价只投了部分内容；</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23.1.7 磋商供应商的响应文件出现了评标委员会认为不应当雷同的情况；</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23.1.8 经磋商小组认定磋商供应商的报价低于成本价的；</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23.1.9不同供应商的“机器码一致”的情形；</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23.1.10 其他被磋商小组认定无效的情况。</w:t>
      </w:r>
      <w:r>
        <w:rPr>
          <w:color w:val="000000" w:themeColor="text1"/>
        </w:rPr>
      </w:r>
      <w:r/>
    </w:p>
    <w:p>
      <w:pPr>
        <w:ind w:left="0" w:right="0" w:firstLine="463"/>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23.2磋商采购文件提供的工艺、材料、设备、参考的商标或样本目录号码等仅作为说明并没有限制性，磋商供应商在磋商中可以选用替代标准，但这些替代标准要优于或相当于技术规格中要求的标准，以满足采购人的需要。</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23.3磋商小组将对确定为实质性响应的文件进行审核，看其是否有计算上或累加上的算术错误，修正错误的原则如下：</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23.3.1响应文件的大写金额与小写金额不一致的，以大写金额为准；</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23.3.2如果单价乘数量不等于总价，数量符合磋商采购文件要求，以单价计算金额为准；单价金额小数点有明细错位的，应以总价为准，并修改单价；数量不符合磋商采购文件要求的作为未实质性响应磋商采购文件处理，该响应文件将不予以详细评审，也不成交；</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23.3.3对不同文字文本响应文件的解释发生异议的，以中文文本为准；</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23.3.4磋商供应商不同意以上修正，则其响应文件将被拒绝。</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24．项目的终止</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24.1出现下列情形之一的，将终止竞争性磋商采购活动：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24.1.1因情况变化，不再符合规定的竞争性磋商采购方式适用情形的；</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24.1.2出现影响采购公正的违法、违规行为的；</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24.1.3实质性响应磋商文件不满三家或进入二次报价的不满三家或二次报价在采购预算或最高限价或单价限价内不满三家的。</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25. 响应文件的评价和比较</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25.1磋商小组将仅对按照本须知有关规定确定为实质性响应磋商采购文件要求的响应文件进行评价和比较。</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25.2评审办法</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磋商小组根据本文件规定的成交原则，在响应文件满足磋商文件全部实质性要求且按评审因素的量化指标评审得分最高到低的前三名的磋商供应商为成交候选供应商。</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评标委员会严格按照磋商采购文件的要求、条件、合格性评审办法，对磋商供应商所提供的服务内容进行比较，同时考虑以下因素：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25.2.1磋商供应商的资信情况和履约能力；</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25.2.2磋商供应商提供的其他优惠条件；</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25.2.3磋商供应商的实施方案；</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25.3评标委员会各成员独立对每个进入合格性评审程序的磋商供应商的响应文件按评审办法进行评审和评价。</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26. 成交单位的确认</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26.1磋商小组根据磋商供应商资格审查情况，对响应文件进行评价和比较，按照评审办法和标准进行评审，并按采购人的委托向采购人推荐成交候选单位。</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26.2采购人授权磋商小组选择排名第一的为成交供应商。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26.3确定成交供应商后，磋商采购单位将在规定的时间内将成交结果在相关媒体上予以公告。</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27. 合同授予标准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27.1采购人将把合同授予其响应文件在实质上响应磋商文件要求和按本须知规定评选出的磋商供应商。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27.2政府采购合同履行中，采购人需追加与合同标的物相同的货物、工程或者服务的，在不改变合同其他条款的前提下，可以与成交供应商签订补充合同，但所有补充合同的采购金额不得超过原合同采购金额的百分之十。</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28. 成交通知书</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28.1磋商采购单位应在规定的时间向成交供应商发出成交通知书。成交通知书发出后，采购人改变成交结果，或者成交供应商放弃成交，应当承担相应的法律责任。</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28.2成交通知书将成为合同的组成部分。</w:t>
      </w:r>
      <w:r>
        <w:rPr>
          <w:color w:val="000000" w:themeColor="text1"/>
        </w:rPr>
      </w:r>
      <w:r/>
    </w:p>
    <w:p>
      <w:pPr>
        <w:ind w:left="0" w:right="0" w:firstLine="50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28.3磋商采购单位对未成交供应商不承担解释未成交原因的义务。</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29.告知成交结果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29.1发出成交通知书。在发布成交公告的同时，向成交磋商供应商发出成交通知书。</w:t>
      </w:r>
      <w:r>
        <w:rPr>
          <w:color w:val="000000" w:themeColor="text1"/>
        </w:rPr>
      </w:r>
      <w:r/>
    </w:p>
    <w:p>
      <w:pPr>
        <w:ind w:left="0" w:right="0" w:firstLine="4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29.2参与项目评审的未成交磋商供应商可在成交公告发布之日起2个工作日内向采购代理机构另行提供用以接收《未成交通知书》的电子邮件地址，未按时提供电子邮件地址或提供信息有误的，视为自动放弃并自行承担相应后果。</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30. 合同的签订</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30.1成交单位应按规定的时间和地点，由法定代表人或代理人与甲方代表签订合同。否则按放弃处理。</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30.2签订合同及合同条款应以磋商采购文件和成交单位的响应文件及其澄清文件为依据。</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30.3本项目各单项报价二次报价中未明确的，按照磋商总价（最终报价）/第一次总价*响应文件中列明单价（第一次）执行。</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31.代理服务费</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31.1成交单位须按前附表的规定计算并支付服务费，该费用应在领取成交通知书时向采购代理机构一次性付清。</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31.2成交单位如果未按规定缴纳服务费，磋商采购单位将保留诉讼的权利。</w:t>
      </w:r>
      <w:r>
        <w:rPr>
          <w:color w:val="000000" w:themeColor="text1"/>
        </w:rPr>
      </w:r>
      <w:r/>
    </w:p>
    <w:p>
      <w:pPr>
        <w:ind w:left="0" w:right="0" w:firstLine="241"/>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32.采购文件的质疑</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32.1 根据《政府采购质疑和投诉办法》财政部第94号令，供应商认为采购文件、采购过程、成交结果使自己的权益受到损害的，可以在知道或者应知其权益受到损害之日起7个工作日内，以书面形式向采购人、采购代理机构提出质疑。</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32.2本次采购文件要求供应商在法定质疑期内一次性提出针对同一采购程序环节的质疑。</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32.3采购人、采购代理机构收到质疑供应商在法定质疑期内发出的质疑函，应当在收到质疑函后7个工作日内作出答复，并以书面形式通知质疑供应商和其他有关供应商。</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32.4供应商提出质疑应当提交质疑函、报名确认单和必要的证明材料。质疑函应当包括下列内容：</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32.4.1供应商的姓名或者名称、地址、邮编、联系人及联系电话；</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32.4.2质疑项目的名称、编号；</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32.4.3具体、明确的质疑事项和与质疑事项相关的请求；</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32.4.4事实依据；</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32.4.5必要的法律依据；</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32.4.6提出质疑的日期。</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为自然人的，应当由本人签字；供应商为法人或者其他组织的，应当由法定代表人、主要负责人，或者其授权代表签字或者盖章，并加盖公章。供应商委托代理进行质疑的，其授权委托书上应当载明代理人的姓名或者名称、代理事项、具体权限、期限和相关事项。</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32.5质疑联系方式详见前附表。</w:t>
      </w:r>
      <w:r>
        <w:rPr>
          <w:color w:val="000000" w:themeColor="text1"/>
        </w:rPr>
      </w:r>
      <w:r/>
    </w:p>
    <w:p>
      <w:pPr>
        <w:numPr>
          <w:ilvl w:val="0"/>
          <w:numId w:val="7"/>
        </w:numPr>
        <w:jc w:val="both"/>
        <w:spacing w:before="0" w:after="0" w:line="85" w:lineRule="atLeast"/>
        <w:tabs>
          <w:tab w:val="left" w:pos="31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政府采购政策</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33.1关于节能环保产品政府采购要求：</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本项目为服务类项目，不涉及属于《节能产品政府采购品目清单》中强制采购范围内产品，不涉及属于《节能产品政府采购品目清单》中优先采购范围内的产品及《环境标志产品政府采购品目清单》范围内的产品。</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33.2针对中小型企业的评审：</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（1）本项目为专门面向中小企业采购。</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政府采购促进中小企业发展管理办法》（财库〔2020〕46号）及《关于做好政府采购支持企业发展有关事项的通知》（苏财购〔2020〕52号）的相关规定，对于专门面向中小微企业的项目，如供应商认定本企业提供的工程或服务符合上述文件规定情形，可以享受中小企业扶持政策的，则需根据《中小企业划型标准规定》（工信部联企业〔2011〕300号）提交《中小企业声明函》并加盖公章，</w:t>
      </w:r>
      <w:r>
        <w:rPr>
          <w:rFonts w:ascii="SimSun" w:hAnsi="SimSun" w:eastAsia="SimSun" w:cs="SimSun"/>
          <w:b/>
          <w:color w:val="000000" w:themeColor="text1"/>
          <w:sz w:val="24"/>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在政府采购活动中，供应商提供的服务符合下列情形的，享受《政府采购促进中小企业发展管理办法》规定的中小企业扶持政策：在服务项目中，项目由中小微企业承接。</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根据《政府采购促进中小企业发展管理办法》（财库〔2020〕46号）及《中小企业划型标准规定》（工信部联企业〔2011〕300号），本采购项目对应的中小企业划分标准所属行业为：其他未列明行业。</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若中小微企业提供的 “中小企业声明函” 或认定证明为虚假声明则视同提供虚假材料，按政府采购相关规定处理并报请政府监管部门给予行政处罚。 </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未尽事宜按照《苏州市政府采购促进中小企业发展实施意见》执行。</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（2）残疾人福利性单位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促进残疾人就业政府采购政策的通知》（财库〔2017〕141号）的相关规定，在政府采购活动中残疾人福利性单位视同小型、微型企业。符合条件的残疾人福利性单位，应提交《残疾人福利性单位声明函》，并对声明的真实性负责。</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（3）监狱企业</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关于政府采购支持监狱企业发展有关问题的通知》（财库〔2014〕68号）的相关规定在政府采购活动中，监狱企业视同小型、微型企业。监狱企业应当提供由省级以上监狱管理局、戒毒管理局（含新疆生产建设兵团）出具的属于监狱企业的证明文件。</w:t>
      </w:r>
      <w:r>
        <w:rPr>
          <w:color w:val="000000" w:themeColor="text1"/>
        </w:rPr>
      </w:r>
      <w:r/>
    </w:p>
    <w:p>
      <w:pPr>
        <w:ind w:left="0" w:right="0" w:firstLine="482"/>
        <w:spacing w:before="240" w:after="46"/>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33.5信用记录</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政府采购法及相关法规，以及苏州市财政局《关于苏州市政府采购网下线“供应商信用查询”功能的通知》的规定，我们将依法对供应商进行信用查询，凡经评审小组确认不符合政府采购相关法律法规规定的，将拒绝其参与政府采购活动。</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33.5.1查询截止时点：响应文件递交截止时间。</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33.5.2查询渠道：</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采购代理机构将通过，在中国政府采购网（http://www.ccgp.gov.cn）、信用中国（www.creditchina.gov.cn）的网站输入供应商全称或统一社会信用代码查询信用记录，并将查询结果递交评审小组。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33.5.3信用记录使用规则：对响应单位进行资格性审查时，应根据查询结果对供应商的不良信用记录逐项甄别确认。按照《中华人民共和国政府采购法》第二十二条规定，下列信用记录属于应依法拒绝供应商参加政府采购的失信信息：</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（一）政府采购严重违法记录，即供应商被全国各级财政部门列入“政府采购严重违法失信行为记录名单”，且在处罚有效期内的。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（二）财政部门与法院、工商、税务等部门联合惩戒的失信信息，包括：</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（1）被列入失信被执行人名单；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（2）被列入重大税收违法案件当事人名单；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企业经营异常名录中被责令停产停业、暂扣或者吊销许可证或者执照，或者对经营活动中的较大数额罚款（“较大数额罚款”认定为200万元以上的罚款，法律、行政法规以及国务院有关部门明确规定相关领域“较大数额罚款”标准高于200万元的，从其规定）的信用记录。处罚生效日至递交投标（响应）文件日未满三年的。</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34. 未尽事宜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按《中华人民共和国政府采购法》、《中华人民共和国政府采购法实施条例》及其他有关的法律法规的规定执行。</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pStyle w:val="848"/>
        <w:ind w:left="0" w:right="0" w:firstLine="52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第三章 响应文件格式</w:t>
      </w:r>
      <w:r>
        <w:rPr>
          <w:color w:val="000000" w:themeColor="text1"/>
        </w:rPr>
      </w:r>
      <w:r/>
    </w:p>
    <w:p>
      <w:pPr>
        <w:ind w:left="0" w:right="0" w:firstLine="241"/>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说明：</w:t>
      </w:r>
      <w:r>
        <w:rPr>
          <w:color w:val="000000" w:themeColor="text1"/>
        </w:rPr>
      </w:r>
      <w:r/>
    </w:p>
    <w:p>
      <w:pPr>
        <w:ind w:left="0" w:right="0" w:firstLine="241"/>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对本章所有的格式，磋商供应商可根据自身情况进行补充和修改，但补充和修改不得造成与本格式内容有实质性的违背。</w:t>
      </w:r>
      <w:r>
        <w:rPr>
          <w:color w:val="000000" w:themeColor="text1"/>
        </w:rPr>
      </w:r>
      <w:r/>
    </w:p>
    <w:p>
      <w:pPr>
        <w:ind w:left="0" w:right="0" w:firstLine="28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28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1、（供应方）法定代表人授权委托书</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301"/>
        <w:jc w:val="center"/>
        <w:spacing w:before="100" w:after="1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30"/>
        </w:rPr>
        <w:t xml:space="preserve">法定代表人授权委托书</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本授权委托书声明：我</w:t>
      </w:r>
      <w:r>
        <w:rPr>
          <w:rFonts w:ascii="SimSun" w:hAnsi="SimSun" w:eastAsia="SimSun" w:cs="SimSun"/>
          <w:color w:val="000000" w:themeColor="text1"/>
          <w:sz w:val="24"/>
          <w:u w:val="single"/>
        </w:rPr>
        <w:t xml:space="preserve">  （姓名）</w:t>
      </w:r>
      <w:r>
        <w:rPr>
          <w:rFonts w:ascii="SimSun" w:hAnsi="SimSun" w:eastAsia="SimSun" w:cs="SimSun"/>
          <w:color w:val="000000" w:themeColor="text1"/>
          <w:sz w:val="24"/>
        </w:rPr>
        <w:t xml:space="preserve">系</w:t>
      </w:r>
      <w:r>
        <w:rPr>
          <w:rFonts w:ascii="SimSun" w:hAnsi="SimSun" w:eastAsia="SimSun" w:cs="SimSun"/>
          <w:color w:val="000000" w:themeColor="text1"/>
          <w:sz w:val="24"/>
          <w:u w:val="single"/>
        </w:rPr>
        <w:t xml:space="preserve">（供应商名称）</w:t>
      </w:r>
      <w:r>
        <w:rPr>
          <w:rFonts w:ascii="SimSun" w:hAnsi="SimSun" w:eastAsia="SimSun" w:cs="SimSun"/>
          <w:color w:val="000000" w:themeColor="text1"/>
          <w:sz w:val="24"/>
        </w:rPr>
        <w:t xml:space="preserve">的法定代表人，现授权委托</w:t>
      </w:r>
      <w:r>
        <w:rPr>
          <w:rFonts w:ascii="SimSun" w:hAnsi="SimSun" w:eastAsia="SimSun" w:cs="SimSun"/>
          <w:color w:val="000000" w:themeColor="text1"/>
          <w:sz w:val="24"/>
          <w:u w:val="single"/>
        </w:rPr>
        <w:t xml:space="preserve"> （姓名）</w:t>
      </w:r>
      <w:r>
        <w:rPr>
          <w:rFonts w:ascii="SimSun" w:hAnsi="SimSun" w:eastAsia="SimSun" w:cs="SimSun"/>
          <w:color w:val="000000" w:themeColor="text1"/>
          <w:sz w:val="24"/>
        </w:rPr>
        <w:t xml:space="preserve">为我公司授权代表（即代理人），以本公司的名义参加 </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组织实施的编号为</w:t>
      </w:r>
      <w:r>
        <w:rPr>
          <w:rFonts w:ascii="SimSun" w:hAnsi="SimSun" w:eastAsia="SimSun" w:cs="SimSun"/>
          <w:color w:val="000000" w:themeColor="text1"/>
          <w:sz w:val="24"/>
          <w:u w:val="single"/>
        </w:rPr>
        <w:t xml:space="preserve"> JSZC-320507-PMJS-C2025-0037 </w:t>
      </w:r>
      <w:r>
        <w:rPr>
          <w:rFonts w:ascii="SimSun" w:hAnsi="SimSun" w:eastAsia="SimSun" w:cs="SimSun"/>
          <w:color w:val="000000" w:themeColor="text1"/>
          <w:sz w:val="24"/>
        </w:rPr>
        <w:t xml:space="preserve">号的磋商活动。授权代表在磋商活动过程中所签署的一切文件和处理与这有关的一切事务，我均予以承认。</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授权代表在授权委托书有效期内签署的所有文件不因授权委托的撤销而失效，除非有撤销授权委托的书面通知，本授权委托书自磋商活动开始至合同履行完毕止。</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授权代表无转委托权。特此委托。</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响应供应商：（单位公章）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法定代表人：（签字或盖章）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代理人：（签字或盖章）</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年　　月　　日</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0"/>
        <w:jc w:val="center"/>
        <w:spacing w:before="0" w:after="0"/>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color w:val="000000" w:themeColor="text1"/>
        </w:rPr>
      </w: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2、响应函</w:t>
      </w:r>
      <w:r>
        <w:rPr>
          <w:color w:val="000000" w:themeColor="text1"/>
        </w:rPr>
      </w:r>
      <w:r/>
    </w:p>
    <w:p>
      <w:pPr>
        <w:ind w:left="0" w:right="0" w:firstLine="241"/>
        <w:jc w:val="center"/>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响应函</w:t>
      </w:r>
      <w:r>
        <w:rPr>
          <w:color w:val="000000" w:themeColor="text1"/>
        </w:rPr>
      </w:r>
      <w:r/>
    </w:p>
    <w:p>
      <w:pPr>
        <w:ind w:left="26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w:t>
      </w:r>
      <w:r>
        <w:rPr>
          <w:color w:val="000000" w:themeColor="text1"/>
        </w:rPr>
      </w:r>
      <w:r/>
    </w:p>
    <w:p>
      <w:pPr>
        <w:ind w:left="26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我们收到贵公司号磋商文件，经仔细阅读和研究，我们决定参加磋商活动。</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1、我们愿意按照磋商文件的一切要求，完成该项目的全部内容。</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2、如果我们的磋商响应文件被接受，我们将严格履行磋商文件中规定的每一项要求，按期、按质、按量履行合同的义务。</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3、我们已详细阅读全部磋商文件，包括更正公告(如有)，对磋商文件及更正公告(如有)无任何异议。我们完全理解并同意放弃对这方面有不明及误解的权力。</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4、我们同意按磋商文件中的规定，本响应文件的有效期限自提交响应文件截止时间之日起</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天。</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5、我们愿意提供磋商采购单位在磋商文件中要求的所有资料。</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6、我们愿意遵守磋商文件中所列的收费标准。</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7、我们承诺该响应文件在磋商开始后的全过程中保持有效，不作任何更改和变动。</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8、我们承诺我公司符合磋商文件供应商须知中“合格供应商的基本、特定条件、落实政府采购政策需满足的资格要求”的要求，若与真实情况不符，本公司愿意承担由此而产生的一切后果。</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9、我们声明：我们在参加本次政府采购活动前3年内在经营活动中没有重大违法记录。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所有有关响应文件的函电，可按下列地址联系：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联系电话（手机）：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地址：邮政编码：</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电子邮箱：</w:t>
      </w:r>
      <w:r>
        <w:rPr>
          <w:color w:val="000000" w:themeColor="text1"/>
        </w:rPr>
      </w:r>
      <w:r/>
    </w:p>
    <w:p>
      <w:pPr>
        <w:ind w:left="0" w:right="0" w:firstLine="315"/>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响应供应商：（单位公章）</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rFonts w:ascii="SimSun" w:hAnsi="SimSun" w:eastAsia="SimSun" w:cs="SimSun"/>
          <w:color w:val="000000" w:themeColor="text1"/>
          <w:sz w:val="24"/>
        </w:rPr>
        <w:t xml:space="preserve"> 日期: 年　　月　　日</w:t>
      </w:r>
      <w:r>
        <w:rPr>
          <w:color w:val="000000" w:themeColor="text1"/>
        </w:rPr>
      </w:r>
      <w:r/>
    </w:p>
    <w:p>
      <w:pPr>
        <w:ind w:left="0" w:right="0" w:firstLine="0"/>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3、响应报价表</w:t>
      </w:r>
      <w:r>
        <w:rPr>
          <w:color w:val="000000" w:themeColor="text1"/>
        </w:rPr>
      </w:r>
      <w:r/>
    </w:p>
    <w:p>
      <w:pPr>
        <w:ind w:left="0" w:right="0" w:firstLine="241"/>
        <w:jc w:val="center"/>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响应报价表</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 </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84"/>
        <w:gridCol w:w="2578"/>
        <w:gridCol w:w="2860"/>
        <w:gridCol w:w="1566"/>
        <w:gridCol w:w="1565"/>
      </w:tblGrid>
      <w:tr>
        <w:trPr>
          <w:trHeight w:val="850"/>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28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磋商总报价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服务期</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备注</w:t>
            </w:r>
            <w:r>
              <w:rPr>
                <w:color w:val="000000" w:themeColor="text1"/>
              </w:rPr>
            </w:r>
            <w:r/>
          </w:p>
        </w:tc>
      </w:tr>
      <w:tr>
        <w:trPr>
          <w:trHeight w:val="141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8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578"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286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6"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56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中型企业（  ）   小型企业（  ）     微型企业（  ）     监狱企业 （  ）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残疾人福利性企业(   )</w:t>
            </w:r>
            <w:r>
              <w:rPr>
                <w:color w:val="000000" w:themeColor="text1"/>
              </w:rPr>
            </w:r>
            <w:r/>
          </w:p>
        </w:tc>
      </w:tr>
      <w:tr>
        <w:trPr>
          <w:trHeight w:val="982"/>
        </w:trPr>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响应总报价：</w:t>
            </w:r>
            <w:r>
              <w:rPr>
                <w:color w:val="000000" w:themeColor="text1"/>
              </w:rPr>
            </w:r>
            <w:r/>
          </w:p>
        </w:tc>
      </w:tr>
    </w:tbl>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供应商：（公章）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r/>
    </w:p>
    <w:p>
      <w:pPr>
        <w:ind w:left="0" w:right="0" w:firstLine="241"/>
        <w:jc w:val="center"/>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center"/>
        <w:spacing w:before="0" w:after="0" w:line="3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11"/>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520" w:right="0" w:firstLine="26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4、磋商响应分项报价表（二）</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采购编号：</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34"/>
        <w:gridCol w:w="1915"/>
        <w:gridCol w:w="1009"/>
        <w:gridCol w:w="1443"/>
        <w:gridCol w:w="1731"/>
        <w:gridCol w:w="1427"/>
      </w:tblGrid>
      <w:tr>
        <w:trPr>
          <w:trHeight w:val="759"/>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类别</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数量</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单价（元）</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金额</w:t>
            </w:r>
            <w:r>
              <w:rPr>
                <w:color w:val="000000" w:themeColor="text1"/>
              </w:rPr>
            </w:r>
            <w:r/>
          </w:p>
        </w:tc>
      </w:tr>
      <w:tr>
        <w:trPr>
          <w:trHeight w:val="489"/>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4000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451"/>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0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1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34"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15"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合计</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43"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731"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2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供应商：（公章）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法定代表人或代理人：（签字或盖章）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日期：年月日</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1"/>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5、人员配备一览表</w:t>
      </w:r>
      <w:r>
        <w:rPr>
          <w:color w:val="000000" w:themeColor="text1"/>
        </w:rPr>
      </w:r>
      <w:r/>
    </w:p>
    <w:p>
      <w:pPr>
        <w:ind w:left="0" w:right="0" w:firstLine="241"/>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（1）人员配备一览表</w:t>
      </w:r>
      <w:r>
        <w:rPr>
          <w:color w:val="000000" w:themeColor="text1"/>
        </w:rPr>
      </w:r>
      <w:r/>
    </w:p>
    <w:p>
      <w:pPr>
        <w:ind w:left="0" w:right="0" w:firstLine="211"/>
        <w:jc w:val="center"/>
        <w:spacing w:before="0" w:after="0" w:line="479"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379"/>
        <w:gridCol w:w="734"/>
        <w:gridCol w:w="652"/>
        <w:gridCol w:w="652"/>
        <w:gridCol w:w="803"/>
        <w:gridCol w:w="687"/>
        <w:gridCol w:w="629"/>
        <w:gridCol w:w="803"/>
        <w:gridCol w:w="931"/>
        <w:gridCol w:w="1083"/>
        <w:gridCol w:w="1328"/>
        <w:gridCol w:w="674"/>
      </w:tblGrid>
      <w:tr>
        <w:trPr>
          <w:trHeight w:val="1086"/>
        </w:trPr>
        <w:tc>
          <w:tcPr>
            <w:tcBorders>
              <w:top w:val="single" w:color="000000" w:sz="8"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姓名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性别</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年龄</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学历</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毕业院校</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所学专业</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专业资格证书</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从业年限</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center"/>
              <w:spacing w:before="200" w:after="20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w:t>
            </w:r>
            <w:r>
              <w:rPr>
                <w:color w:val="000000" w:themeColor="text1"/>
              </w:rPr>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9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601"/>
        </w:trPr>
        <w:tc>
          <w:tcPr>
            <w:tcBorders>
              <w:top w:val="none" w:color="000000" w:sz="4" w:space="0"/>
              <w:left w:val="single" w:color="000000" w:sz="8" w:space="0"/>
              <w:bottom w:val="single" w:color="000000" w:sz="8" w:space="0"/>
              <w:right w:val="single" w:color="000000" w:sz="8" w:space="0"/>
            </w:tcBorders>
            <w:tcMar>
              <w:left w:w="80" w:type="dxa"/>
              <w:top w:w="80" w:type="dxa"/>
              <w:right w:w="80" w:type="dxa"/>
              <w:bottom w:w="80" w:type="dxa"/>
            </w:tcMar>
            <w:tcW w:w="37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734"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52"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87"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29"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80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931"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083"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1328"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80" w:type="dxa"/>
              <w:top w:w="80" w:type="dxa"/>
              <w:right w:w="80" w:type="dxa"/>
              <w:bottom w:w="80" w:type="dxa"/>
            </w:tcMar>
            <w:tcW w:w="674" w:type="dxa"/>
            <w:vAlign w:val="center"/>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210"/>
        <w:jc w:val="both"/>
        <w:spacing w:before="240" w:after="60" w:line="74"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响应供应商：（单位公章）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42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1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41"/>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（2）拟投入本项目的负责人简历表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600"/>
        <w:gridCol w:w="1189"/>
        <w:gridCol w:w="808"/>
        <w:gridCol w:w="1428"/>
        <w:gridCol w:w="1181"/>
        <w:gridCol w:w="1491"/>
        <w:gridCol w:w="1481"/>
      </w:tblGrid>
      <w:tr>
        <w:trPr>
          <w:trHeight w:val="654"/>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姓  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9"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0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性 别</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28"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出生日期</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   月   日</w:t>
            </w:r>
            <w:r>
              <w:rPr>
                <w:color w:val="000000" w:themeColor="text1"/>
              </w:rPr>
            </w:r>
            <w:r/>
          </w:p>
        </w:tc>
      </w:tr>
      <w:tr>
        <w:trPr>
          <w:trHeight w:val="57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毕业院校</w:t>
            </w:r>
            <w:r>
              <w:rPr>
                <w:color w:val="000000" w:themeColor="text1"/>
              </w:rPr>
            </w:r>
            <w:r/>
          </w:p>
        </w:tc>
        <w:tc>
          <w:tcPr>
            <w:gridSpan w:val="3"/>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425"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18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毕业时间</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45"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年   月   日</w:t>
            </w:r>
            <w:r>
              <w:rPr>
                <w:color w:val="000000" w:themeColor="text1"/>
              </w:rPr>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专业</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从事本专业时间</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职务</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职称</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6"/>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执业资格</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997"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609"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联系方式</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972"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56"/>
        </w:trPr>
        <w:tc>
          <w:tcPr>
            <w:gridSpan w:val="7"/>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178"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主  要  经  历</w:t>
            </w:r>
            <w:r>
              <w:rPr>
                <w:color w:val="000000" w:themeColor="text1"/>
              </w:rPr>
            </w:r>
            <w:r/>
          </w:p>
        </w:tc>
      </w:tr>
      <w:tr>
        <w:trPr>
          <w:trHeight w:val="98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时   间</w:t>
            </w:r>
            <w:r>
              <w:rPr>
                <w:color w:val="000000" w:themeColor="text1"/>
              </w:rPr>
            </w:r>
            <w:r/>
          </w:p>
        </w:tc>
        <w:tc>
          <w:tcPr>
            <w:gridSpan w:val="5"/>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center"/>
            <w:textDirection w:val="lrTb"/>
            <w:noWrap w:val="false"/>
          </w:tcPr>
          <w:p>
            <w:pPr>
              <w:ind w:left="0" w:right="0" w:firstLine="21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参加过的项目名称及规模</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该项目中任职</w:t>
            </w:r>
            <w:r>
              <w:rPr>
                <w:color w:val="000000" w:themeColor="text1"/>
              </w:rPr>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1174"/>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600"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gridSpan w:val="5"/>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097"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81" w:type="dxa"/>
            <w:vAlign w:val="top"/>
            <w:textDirection w:val="lrTb"/>
            <w:noWrap w:val="false"/>
          </w:tcPr>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21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响应供应商：（单位公章）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r/>
    </w:p>
    <w:p>
      <w:pPr>
        <w:ind w:left="0" w:right="0" w:firstLine="210"/>
        <w:jc w:val="both"/>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3400" w:right="0" w:firstLine="210"/>
        <w:jc w:val="right"/>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3400" w:right="0" w:firstLine="210"/>
        <w:jc w:val="right"/>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3400" w:right="0" w:firstLine="210"/>
        <w:jc w:val="right"/>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3400" w:right="0" w:firstLine="210"/>
        <w:jc w:val="right"/>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3400" w:right="0" w:firstLine="210"/>
        <w:jc w:val="right"/>
        <w:spacing w:before="0" w:after="0" w:line="3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6、类似业绩一览表</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281"/>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类似业绩一览表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01"/>
        <w:gridCol w:w="1916"/>
        <w:gridCol w:w="1750"/>
        <w:gridCol w:w="1750"/>
        <w:gridCol w:w="1395"/>
      </w:tblGrid>
      <w:tr>
        <w:trPr>
          <w:trHeight w:val="1253"/>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tabs>
                <w:tab w:val="left" w:pos="625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业主单位</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750" w:type="dxa"/>
            <w:vAlign w:val="center"/>
            <w:textDirection w:val="lrTb"/>
            <w:noWrap w:val="false"/>
          </w:tcPr>
          <w:p>
            <w:pPr>
              <w:ind w:left="0" w:right="0" w:firstLine="21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合同金额</w:t>
            </w:r>
            <w:r>
              <w:rPr>
                <w:color w:val="000000" w:themeColor="text1"/>
              </w:rPr>
            </w:r>
            <w:r/>
          </w:p>
          <w:p>
            <w:pPr>
              <w:ind w:left="0" w:right="0" w:firstLine="21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（万元）</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tabs>
                <w:tab w:val="left" w:pos="6252" w:leader="none"/>
              </w:tabs>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备注</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r>
        <w:trP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01"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916"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750" w:type="dxa"/>
            <w:vAlign w:val="top"/>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1395" w:type="dxa"/>
            <w:vAlign w:val="center"/>
            <w:textDirection w:val="lrTb"/>
            <w:noWrap w:val="false"/>
          </w:tcPr>
          <w:p>
            <w:pPr>
              <w:ind w:left="0" w:right="0" w:firstLine="210"/>
              <w:jc w:val="center"/>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tc>
      </w:tr>
    </w:tbl>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响应供应商：（单位公章）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 年　　月　　日</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21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1"/>
        </w:rPr>
        <w:t xml:space="preserve"> </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85" w:lineRule="atLeast"/>
        <w:rPr>
          <w:rFonts w:ascii="SimSun" w:hAnsi="SimSun" w:eastAsia="SimSun" w:cs="SimSun"/>
          <w:b/>
          <w:bCs/>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highlight w:val="none"/>
        </w:rPr>
      </w:r>
      <w:r>
        <w:rPr>
          <w:rFonts w:ascii="SimSun" w:hAnsi="SimSun" w:eastAsia="SimSun" w:cs="SimSun"/>
          <w:b/>
          <w:color w:val="000000" w:themeColor="text1"/>
          <w:sz w:val="24"/>
          <w:highlight w:val="none"/>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52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7、</w:t>
      </w:r>
      <w:r>
        <w:rPr>
          <w:rFonts w:ascii="SimSun" w:hAnsi="SimSun" w:eastAsia="SimSun" w:cs="SimSun"/>
          <w:b/>
          <w:color w:val="000000" w:themeColor="text1"/>
          <w:sz w:val="24"/>
        </w:rPr>
        <w:t xml:space="preserve">偏离表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服务要求偏离表</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单位名称（盖章）：</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28"/>
        <w:gridCol w:w="1800"/>
        <w:gridCol w:w="1620"/>
        <w:gridCol w:w="1440"/>
        <w:gridCol w:w="1699"/>
        <w:gridCol w:w="1757"/>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center"/>
            <w:textDirection w:val="lrTb"/>
            <w:noWrap w:val="false"/>
          </w:tcPr>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服务内容</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采购要求</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响应要求</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偏离/响应</w:t>
            </w:r>
            <w:r>
              <w:rPr>
                <w:color w:val="000000" w:themeColor="text1"/>
              </w:rPr>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center"/>
            <w:textDirection w:val="lrTb"/>
            <w:noWrap w:val="false"/>
          </w:tcPr>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828"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80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2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440"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1699"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757" w:type="dxa"/>
            <w:vAlign w:val="top"/>
            <w:textDirection w:val="lrTb"/>
            <w:noWrap w:val="false"/>
          </w:tcPr>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注：1、磋商响应单位应对照竞争性磋商文件技术要求等要求，所响应标的物与竞争性磋商文件的规定有偏离的，应在此表中申明与技术要求条文的偏差和例外。</w:t>
      </w:r>
      <w:r>
        <w:rPr>
          <w:color w:val="000000" w:themeColor="text1"/>
        </w:rPr>
      </w:r>
      <w:r/>
    </w:p>
    <w:p>
      <w:pPr>
        <w:ind w:left="0" w:right="0" w:firstLine="36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未在上表中说明的，如在响应文件其他内容中已有文字说明的，则以已有文字说明为准，否则，将被认为完全响应竞争性磋商文件的规定。但该表不作为磋商响应单位对所响应标的物关于服务要求等详细描述和说明的替代。</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磋商响应单位（公章）：</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法定代表人或委托代理人（签字或盖章）：</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商务条款偏离表</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商务条款偏离表</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单位名称（盖章）：</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697"/>
        <w:gridCol w:w="2479"/>
        <w:gridCol w:w="2650"/>
        <w:gridCol w:w="2362"/>
        <w:gridCol w:w="1166"/>
      </w:tblGrid>
      <w:tr>
        <w:trPr/>
        <w:tc>
          <w:tcPr>
            <w:tcBorders>
              <w:top w:val="single" w:color="000000" w:sz="12"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竞争性磋商文件条目号</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竞争性磋商文件的商务条款</w:t>
            </w:r>
            <w:r>
              <w:rPr>
                <w:color w:val="000000" w:themeColor="text1"/>
              </w:rPr>
            </w:r>
            <w:r/>
          </w:p>
        </w:tc>
        <w:tc>
          <w:tcPr>
            <w:tcBorders>
              <w:top w:val="single" w:color="000000" w:sz="12"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磋商响应文件的商务条款</w:t>
            </w:r>
            <w:r>
              <w:rPr>
                <w:color w:val="000000" w:themeColor="text1"/>
              </w:rPr>
            </w:r>
            <w:r/>
          </w:p>
        </w:tc>
        <w:tc>
          <w:tcPr>
            <w:tcBorders>
              <w:top w:val="single" w:color="000000" w:sz="12"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center"/>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说明</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8"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single" w:color="000000" w:sz="8" w:space="0"/>
              <w:left w:val="single" w:color="000000" w:sz="12" w:space="0"/>
              <w:bottom w:val="single" w:color="000000" w:sz="12" w:space="0"/>
              <w:right w:val="single" w:color="000000" w:sz="8" w:space="0"/>
            </w:tcBorders>
            <w:tcMar>
              <w:left w:w="108" w:type="dxa"/>
              <w:top w:w="0" w:type="dxa"/>
              <w:right w:w="108" w:type="dxa"/>
              <w:bottom w:w="0" w:type="dxa"/>
            </w:tcMar>
            <w:tcW w:w="697"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479"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650"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8" w:space="0"/>
            </w:tcBorders>
            <w:tcMar>
              <w:left w:w="108" w:type="dxa"/>
              <w:top w:w="0" w:type="dxa"/>
              <w:right w:w="108" w:type="dxa"/>
              <w:bottom w:w="0" w:type="dxa"/>
            </w:tcMar>
            <w:tcW w:w="2362"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12" w:space="0"/>
              <w:right w:val="single" w:color="000000" w:sz="12" w:space="0"/>
            </w:tcBorders>
            <w:tcMar>
              <w:left w:w="108" w:type="dxa"/>
              <w:top w:w="0" w:type="dxa"/>
              <w:right w:w="108" w:type="dxa"/>
              <w:bottom w:w="0" w:type="dxa"/>
            </w:tcMar>
            <w:tcW w:w="1166" w:type="dxa"/>
            <w:vAlign w:val="top"/>
            <w:textDirection w:val="lrTb"/>
            <w:noWrap w:val="false"/>
          </w:tcPr>
          <w:p>
            <w:pPr>
              <w:ind w:left="0" w:right="0" w:firstLine="0"/>
              <w:jc w:val="both"/>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磋商响应单位的磋商响应文件（除服务要求部分）与竞争性磋商文件规定的有偏离的，应在此表中说明。未在上表中说明的，如在响应文件其他内容中已有文字说明的，则以已有文字说明为准，否则，将被认为完全响应竞争性磋商文件的规定。但该表不作为磋商响应单位对所投标服务关于商务条款等详细描述和说明的替代。</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磋商响应单位（公章）：</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法定代表人或委托代理人（签字或盖章）：</w:t>
      </w:r>
      <w:r>
        <w:rPr>
          <w:color w:val="000000" w:themeColor="text1"/>
        </w:rPr>
      </w:r>
      <w:r/>
    </w:p>
    <w:p>
      <w:pPr>
        <w:ind w:left="0" w:right="0" w:firstLine="48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340" w:after="120" w:line="88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ind w:left="0" w:right="0" w:firstLine="0"/>
        <w:spacing w:before="240" w:after="240" w:line="85" w:lineRule="atLeast"/>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241"/>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8、资格证明文件</w:t>
      </w:r>
      <w:r>
        <w:rPr>
          <w:color w:val="000000" w:themeColor="text1"/>
        </w:rPr>
      </w:r>
      <w:r/>
    </w:p>
    <w:p>
      <w:pPr>
        <w:ind w:left="0" w:right="0" w:firstLine="241"/>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1"/>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(1)、关于资格文件的声明函</w:t>
      </w:r>
      <w:r>
        <w:rPr>
          <w:color w:val="000000" w:themeColor="text1"/>
        </w:rPr>
      </w:r>
      <w:r/>
    </w:p>
    <w:p>
      <w:pPr>
        <w:ind w:left="0" w:right="0" w:firstLine="241"/>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关于资格文件的声明函</w:t>
      </w:r>
      <w:r>
        <w:rPr>
          <w:color w:val="000000" w:themeColor="text1"/>
        </w:rPr>
      </w:r>
      <w:r/>
    </w:p>
    <w:p>
      <w:pPr>
        <w:ind w:left="0" w:right="0" w:firstLine="24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86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u w:val="single"/>
        </w:rPr>
        <w:t xml:space="preserve">：</w:t>
      </w:r>
      <w:r>
        <w:rPr>
          <w:color w:val="000000" w:themeColor="text1"/>
        </w:rPr>
      </w:r>
      <w:r/>
    </w:p>
    <w:p>
      <w:pPr>
        <w:ind w:left="0" w:right="0" w:firstLine="2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愿就由贵公司组织实施的采购编号为号的磋商采购活动进行响应。本公司所提交的响应文件中所有关于磋商资格的文件、证明和陈述均是真实的、准确的。若与真实情况不符，本公司愿意承担由此而产生的一切后果。</w:t>
      </w:r>
      <w:r>
        <w:rPr>
          <w:color w:val="000000" w:themeColor="text1"/>
        </w:rPr>
      </w:r>
      <w:r/>
    </w:p>
    <w:p>
      <w:pPr>
        <w:ind w:left="0" w:right="0" w:firstLine="24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ab/>
        <w:tab/>
        <w:tab/>
        <w:tab/>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响应供应商：（单位公章）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日期: 年　　月　　日</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rFonts w:ascii="SimSun" w:hAnsi="SimSun" w:eastAsia="SimSun" w:cs="SimSun"/>
          <w:color w:val="000000" w:themeColor="text1"/>
          <w:sz w:val="24"/>
          <w:szCs w:val="24"/>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none"/>
        </w:rPr>
      </w:r>
      <w:r>
        <w:rPr>
          <w:rFonts w:ascii="SimSun" w:hAnsi="SimSun" w:eastAsia="SimSun" w:cs="SimSun"/>
          <w:color w:val="000000" w:themeColor="text1"/>
          <w:sz w:val="24"/>
          <w:highlight w:val="none"/>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1"/>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 (2)、磋商供应商情况表</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2510"/>
        <w:gridCol w:w="2005"/>
        <w:gridCol w:w="1461"/>
        <w:gridCol w:w="2056"/>
        <w:gridCol w:w="123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成立日期</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企业地址</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注册资本</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经营范围</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职工人数</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gridSpan w:val="2"/>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517"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其中：有中高级以上职称的人数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236"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资产总计</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净资产</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center"/>
            <w:textDirection w:val="lrTb"/>
            <w:noWrap w:val="false"/>
          </w:tcPr>
          <w:p>
            <w:pPr>
              <w:ind w:left="0" w:right="0" w:firstLine="2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股东权益</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center"/>
            <w:textDirection w:val="lrTb"/>
            <w:noWrap w:val="false"/>
          </w:tcPr>
          <w:p>
            <w:pPr>
              <w:ind w:left="0" w:right="0" w:firstLine="2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销售收入</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center"/>
            <w:textDirection w:val="lrTb"/>
            <w:noWrap w:val="false"/>
          </w:tcPr>
          <w:p>
            <w:pPr>
              <w:ind w:left="0" w:right="0" w:firstLine="240"/>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2024年万元</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实现利润</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2024年万元</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营业面积（含厂房面积）</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005" w:type="dxa"/>
            <w:vAlign w:val="center"/>
            <w:textDirection w:val="lrTb"/>
            <w:noWrap w:val="false"/>
          </w:tcPr>
          <w:p>
            <w:pPr>
              <w:ind w:left="0" w:right="0" w:firstLine="24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平方米</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461"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其中：</w:t>
            </w:r>
            <w:r>
              <w:rPr>
                <w:color w:val="000000" w:themeColor="text1"/>
              </w:rPr>
            </w:r>
            <w:r/>
          </w:p>
        </w:tc>
        <w:tc>
          <w:tcPr>
            <w:gridSpan w:val="2"/>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92"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自有面积平方米</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承租面积平方米</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单位简历及内设机构情况</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单位优势及特长</w:t>
            </w:r>
            <w:r>
              <w:rPr>
                <w:color w:val="000000" w:themeColor="text1"/>
              </w:rPr>
            </w:r>
            <w:r/>
          </w:p>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近三年来完成或正在履行的重大合同情况</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最近2年内在经营过程中受到何种奖励或处分（包括稽查情况和结果）</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最近3年内有无因售假、售劣或是其他原因被消费者投诉或起诉的情况及说明（包括解决方式和结果）</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最近3年内主要负责人有无因经济犯罪被司法机关追究的情况及说明</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获得技术认证的工程师及简介</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r>
        <w:trPr>
          <w:trHeight w:val="56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2510"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其他需要说明的情况</w:t>
            </w:r>
            <w:r>
              <w:rPr>
                <w:color w:val="000000" w:themeColor="text1"/>
              </w:rPr>
            </w:r>
            <w:r/>
          </w:p>
        </w:tc>
        <w:tc>
          <w:tcPr>
            <w:gridSpan w:val="4"/>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6758" w:type="dxa"/>
            <w:vAlign w:val="top"/>
            <w:textDirection w:val="lrTb"/>
            <w:noWrap w:val="false"/>
          </w:tcPr>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tc>
      </w:tr>
    </w:tbl>
    <w:p>
      <w:pPr>
        <w:ind w:left="0" w:right="0" w:firstLine="240"/>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响应供应商：（单位公章）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r/>
    </w:p>
    <w:p>
      <w:pPr>
        <w:ind w:left="0" w:right="0" w:firstLine="241"/>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（3）供应商与其他单位存在控股、管理关系情况表</w:t>
      </w:r>
      <w:r>
        <w:rPr>
          <w:color w:val="000000" w:themeColor="text1"/>
        </w:rPr>
      </w:r>
      <w:r/>
    </w:p>
    <w:p>
      <w:pPr>
        <w:ind w:left="0" w:right="0" w:firstLine="0"/>
        <w:jc w:val="center"/>
        <w:spacing w:before="100" w:after="10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供应商与其他单位存在控股、管理关系情况表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409"/>
        <w:gridCol w:w="3946"/>
      </w:tblGrid>
      <w:tr>
        <w:trPr>
          <w:trHeight w:val="63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0"/>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供应商与其他单位存在控股、管理关系的单位名称</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0"/>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控股、管理关系情况说明</w:t>
            </w:r>
            <w:r>
              <w:rPr>
                <w:color w:val="000000" w:themeColor="text1"/>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r>
      <w:tr>
        <w:trPr>
          <w:trHeight w:val="850"/>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409"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3946" w:type="dxa"/>
            <w:vAlign w:val="center"/>
            <w:textDirection w:val="lrTb"/>
            <w:noWrap w:val="false"/>
          </w:tcPr>
          <w:p>
            <w:pPr>
              <w:ind w:left="0" w:right="0" w:firstLine="261"/>
              <w:jc w:val="center"/>
              <w:spacing w:before="0" w:after="0" w:line="71"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 </w:t>
            </w:r>
            <w:r>
              <w:rPr>
                <w:color w:val="000000" w:themeColor="text1"/>
              </w:rPr>
            </w:r>
            <w:r/>
          </w:p>
        </w:tc>
      </w:tr>
    </w:tbl>
    <w:p>
      <w:pPr>
        <w:ind w:left="0" w:right="0" w:firstLine="241"/>
        <w:spacing w:before="75" w:after="75" w:line="43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注：响应单位应当按实填写所有与之有控股、管理关系的情况。</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响应供应商：（单位公章）</w:t>
      </w:r>
      <w:r>
        <w:rPr>
          <w:color w:val="000000" w:themeColor="text1"/>
        </w:rPr>
      </w:r>
      <w:r/>
    </w:p>
    <w:p>
      <w:pPr>
        <w:ind w:left="0" w:right="0" w:firstLine="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 年　　月　　日</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520" w:right="0" w:firstLine="26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rFonts w:ascii="SimSun" w:hAnsi="SimSun" w:eastAsia="SimSun" w:cs="SimSun"/>
          <w:color w:val="000000" w:themeColor="text1"/>
          <w:sz w:val="28"/>
          <w:szCs w:val="28"/>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rPr>
        <w:t xml:space="preserve"> </w:t>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8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8"/>
          <w:highlight w:val="none"/>
        </w:rPr>
      </w:r>
      <w:r>
        <w:rPr>
          <w:rFonts w:ascii="SimSun" w:hAnsi="SimSun" w:eastAsia="SimSun" w:cs="SimSun"/>
          <w:color w:val="000000" w:themeColor="text1"/>
          <w:sz w:val="28"/>
          <w:highlight w:val="none"/>
        </w:rPr>
      </w:r>
      <w:r/>
    </w:p>
    <w:p>
      <w:pPr>
        <w:pStyle w:val="849"/>
        <w:ind w:left="0" w:right="0" w:firstLine="241"/>
        <w:jc w:val="both"/>
        <w:spacing w:before="120" w:after="120" w:line="553"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9、中小企业声明函</w:t>
      </w:r>
      <w:r>
        <w:rPr>
          <w:color w:val="000000" w:themeColor="text1"/>
        </w:rPr>
      </w:r>
      <w:r/>
    </w:p>
    <w:p>
      <w:pPr>
        <w:ind w:left="0" w:right="0" w:firstLine="482"/>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中小企业声明函（工程、服务）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本公司（联合体）郑重声明，根据《政府采购促进中小企业发展管理办法》（财库﹝2020﹞46 号）的规定，本公司（联合体）参加</w:t>
      </w:r>
      <w:r>
        <w:rPr>
          <w:rFonts w:ascii="SimSun" w:hAnsi="SimSun" w:eastAsia="SimSun" w:cs="SimSun"/>
          <w:color w:val="000000" w:themeColor="text1"/>
          <w:sz w:val="24"/>
          <w:u w:val="single"/>
        </w:rPr>
        <w:t xml:space="preserve">（单位名称）</w:t>
      </w:r>
      <w:r>
        <w:rPr>
          <w:rFonts w:ascii="SimSun" w:hAnsi="SimSun" w:eastAsia="SimSun" w:cs="SimSun"/>
          <w:color w:val="000000" w:themeColor="text1"/>
          <w:sz w:val="24"/>
        </w:rPr>
        <w:t xml:space="preserve">的</w:t>
      </w:r>
      <w:r>
        <w:rPr>
          <w:rFonts w:ascii="SimSun" w:hAnsi="SimSun" w:eastAsia="SimSun" w:cs="SimSun"/>
          <w:color w:val="000000" w:themeColor="text1"/>
          <w:sz w:val="24"/>
          <w:u w:val="single"/>
        </w:rPr>
        <w:t xml:space="preserve">（项目名称）</w:t>
      </w:r>
      <w:r>
        <w:rPr>
          <w:rFonts w:ascii="SimSun" w:hAnsi="SimSun" w:eastAsia="SimSun" w:cs="SimSun"/>
          <w:color w:val="000000" w:themeColor="text1"/>
          <w:sz w:val="24"/>
        </w:rPr>
        <w:t xml:space="preserve">采购活动，工程的施工单位全部为符合政策要求的中小企业（或者：服务全部由符合政策要求的中小企业承接）。相关企业（含联合体中的中小企业、签订分包意向协议的中小企业）的具体情况如下：</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1. </w:t>
      </w:r>
      <w:r>
        <w:rPr>
          <w:rFonts w:ascii="SimSun" w:hAnsi="SimSun" w:eastAsia="SimSun" w:cs="SimSun"/>
          <w:color w:val="000000" w:themeColor="text1"/>
          <w:sz w:val="24"/>
          <w:u w:val="single"/>
        </w:rPr>
        <w:t xml:space="preserve">（项目名称）</w:t>
      </w:r>
      <w:r>
        <w:rPr>
          <w:rFonts w:ascii="SimSun" w:hAnsi="SimSun" w:eastAsia="SimSun" w:cs="SimSun"/>
          <w:color w:val="000000" w:themeColor="text1"/>
          <w:sz w:val="24"/>
        </w:rPr>
        <w:t xml:space="preserve">，属于</w:t>
      </w:r>
      <w:r>
        <w:rPr>
          <w:rFonts w:ascii="SimSun" w:hAnsi="SimSun" w:eastAsia="SimSun" w:cs="SimSun"/>
          <w:color w:val="000000" w:themeColor="text1"/>
          <w:sz w:val="24"/>
          <w:u w:val="single"/>
        </w:rPr>
        <w:t xml:space="preserve">其他未列明行业</w:t>
      </w:r>
      <w:r>
        <w:rPr>
          <w:rFonts w:ascii="SimSun" w:hAnsi="SimSun" w:eastAsia="SimSun" w:cs="SimSun"/>
          <w:color w:val="000000" w:themeColor="text1"/>
          <w:sz w:val="24"/>
        </w:rPr>
        <w:t xml:space="preserve">；承建（承接）企业为</w:t>
      </w:r>
      <w:r>
        <w:rPr>
          <w:rFonts w:ascii="SimSun" w:hAnsi="SimSun" w:eastAsia="SimSun" w:cs="SimSun"/>
          <w:color w:val="000000" w:themeColor="text1"/>
          <w:sz w:val="24"/>
          <w:u w:val="single"/>
        </w:rPr>
        <w:t xml:space="preserve">（企业名称）</w:t>
      </w:r>
      <w:r>
        <w:rPr>
          <w:rFonts w:ascii="SimSun" w:hAnsi="SimSun" w:eastAsia="SimSun" w:cs="SimSun"/>
          <w:color w:val="000000" w:themeColor="text1"/>
          <w:sz w:val="24"/>
        </w:rPr>
        <w:t xml:space="preserve">，从业人员人，营业收入为万元，资产总额为万元，属于</w:t>
      </w:r>
      <w:r>
        <w:rPr>
          <w:rFonts w:ascii="SimSun" w:hAnsi="SimSun" w:eastAsia="SimSun" w:cs="SimSun"/>
          <w:color w:val="000000" w:themeColor="text1"/>
          <w:sz w:val="24"/>
          <w:u w:val="single"/>
        </w:rPr>
        <w:t xml:space="preserve">（中型企业、小型企业、微型企业）</w:t>
      </w:r>
      <w:r>
        <w:rPr>
          <w:rFonts w:ascii="SimSun" w:hAnsi="SimSun" w:eastAsia="SimSun" w:cs="SimSun"/>
          <w:color w:val="000000" w:themeColor="text1"/>
          <w:sz w:val="24"/>
        </w:rPr>
        <w:t xml:space="preserve">；</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以上企业，不属于大企业的分支机构，不存在控股股东为大企业的情形，也不存在与大企业的负责人为同一人的情形。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本企业对上述声明内容的真实性负责。如有虚假，将依法承担相应责任。</w:t>
      </w:r>
      <w:r>
        <w:rPr>
          <w:color w:val="000000" w:themeColor="text1"/>
        </w:rPr>
      </w:r>
      <w:r/>
    </w:p>
    <w:p>
      <w:pPr>
        <w:ind w:left="0" w:right="480" w:firstLine="58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企业名称（盖章）：</w:t>
      </w:r>
      <w:r>
        <w:rPr>
          <w:color w:val="000000" w:themeColor="text1"/>
        </w:rPr>
      </w:r>
      <w:r/>
    </w:p>
    <w:p>
      <w:pPr>
        <w:ind w:left="0" w:right="480" w:firstLine="720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w:t>
      </w:r>
      <w:r>
        <w:rPr>
          <w:color w:val="000000" w:themeColor="text1"/>
        </w:rPr>
      </w:r>
      <w:r/>
    </w:p>
    <w:p>
      <w:pPr>
        <w:ind w:left="0" w:right="0" w:firstLine="48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1、提供的中小企业声明函须加盖有公章的彩色扫描件上传至电子投标文件中（如属于）。否则不可享受相应扶持政策。</w:t>
      </w:r>
      <w:r>
        <w:rPr>
          <w:color w:val="000000" w:themeColor="text1"/>
        </w:rPr>
      </w:r>
      <w:r/>
    </w:p>
    <w:p>
      <w:pPr>
        <w:ind w:left="0" w:right="0" w:firstLine="48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2、如供应商认定本企业为小型或微型企业，则需根据“工信部联企业〔2011〕300号”通知中的《中小企业划型标准规定》填报“中小企业声明函”。</w:t>
      </w:r>
      <w:r>
        <w:rPr>
          <w:color w:val="000000" w:themeColor="text1"/>
        </w:rPr>
      </w:r>
      <w:r/>
    </w:p>
    <w:p>
      <w:pPr>
        <w:ind w:left="0" w:right="0" w:firstLine="48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3、从业人员、营业收入、资产总额填报上一年度数据，无上一年度数据的新成立企业可不填报。</w:t>
      </w:r>
      <w:r>
        <w:rPr>
          <w:color w:val="000000" w:themeColor="text1"/>
        </w:rPr>
      </w:r>
      <w:r/>
    </w:p>
    <w:p>
      <w:pPr>
        <w:ind w:left="0" w:right="0" w:firstLine="48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4、中小企业划分标准详见“工信部联企业〔2011〕300号通知中的《中小企业划型标准规定》”。</w:t>
      </w:r>
      <w:r>
        <w:rPr>
          <w:color w:val="000000" w:themeColor="text1"/>
        </w:rPr>
      </w:r>
      <w:r/>
    </w:p>
    <w:p>
      <w:pPr>
        <w:ind w:left="0" w:right="0" w:firstLine="48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5、《中小企业声明函》中所填的行业应与本采购标的对应的中小企业划分标准所属行业一致，不一致的不可享受相应政策优惠。</w:t>
      </w:r>
      <w:r>
        <w:rPr>
          <w:color w:val="000000" w:themeColor="text1"/>
        </w:rPr>
      </w:r>
      <w:r/>
    </w:p>
    <w:p>
      <w:pPr>
        <w:ind w:left="0" w:right="0" w:firstLine="482"/>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6、如未对（中型企业、小型企业、微型企业）进行勾选，视同非小微企业，不可享受相应扶持政策。</w:t>
      </w:r>
      <w:r>
        <w:rPr>
          <w:color w:val="000000" w:themeColor="text1"/>
        </w:rPr>
      </w:r>
      <w:r/>
    </w:p>
    <w:p>
      <w:pPr>
        <w:ind w:left="0" w:right="0" w:firstLine="48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7、成交单位为中小微企业的，《中小企业声明函》将随成交结果同时公告。</w:t>
      </w:r>
      <w:r>
        <w:rPr>
          <w:color w:val="000000" w:themeColor="text1"/>
        </w:rPr>
      </w:r>
      <w:r/>
    </w:p>
    <w:p>
      <w:pPr>
        <w:ind w:left="0" w:right="0" w:firstLine="482"/>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8、未尽事宜按照《苏州市政府采购促进中小企业发展实施意见》执行。</w:t>
      </w:r>
      <w:r>
        <w:rPr>
          <w:color w:val="000000" w:themeColor="text1"/>
        </w:rPr>
      </w:r>
      <w:r/>
    </w:p>
    <w:p>
      <w:pPr>
        <w:ind w:left="0" w:right="0" w:firstLine="482"/>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9、若供应商提供的“中小企业声明函”内容不实的，属于提供虚假材料谋取中标、成交，依照《中华人民共和国政府采购法》等国家有关规定追究相应责任。</w:t>
      </w:r>
      <w:r>
        <w:rPr>
          <w:color w:val="000000" w:themeColor="text1"/>
        </w:rPr>
      </w:r>
      <w:r/>
    </w:p>
    <w:p>
      <w:pPr>
        <w:ind w:left="0" w:right="0" w:firstLine="482"/>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 </w:t>
      </w:r>
      <w:r>
        <w:rPr>
          <w:color w:val="000000" w:themeColor="text1"/>
        </w:rPr>
      </w:r>
      <w:r/>
    </w:p>
    <w:p>
      <w:pPr>
        <w:ind w:left="0" w:right="0" w:firstLine="42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260"/>
        <w:jc w:val="both"/>
        <w:spacing w:before="0" w:after="0"/>
        <w:rPr>
          <w:rFonts w:ascii="SimSun" w:hAnsi="SimSun" w:eastAsia="SimSun" w:cs="SimSun"/>
          <w:color w:val="000000" w:themeColor="text1"/>
          <w:sz w:val="26"/>
          <w:szCs w:val="26"/>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highlight w:val="none"/>
        </w:rPr>
      </w:r>
      <w:r>
        <w:rPr>
          <w:rFonts w:ascii="SimSun" w:hAnsi="SimSun" w:eastAsia="SimSun" w:cs="SimSun"/>
          <w:color w:val="000000" w:themeColor="text1"/>
          <w:sz w:val="26"/>
          <w:highlight w:val="none"/>
        </w:rPr>
      </w:r>
      <w:r/>
    </w:p>
    <w:p>
      <w:pPr>
        <w:ind w:left="0" w:right="0" w:firstLine="261"/>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10、残疾人福利性单位声明函</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1"/>
        <w:jc w:val="center"/>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6"/>
        </w:rPr>
        <w:t xml:space="preserve">残疾人福利性单位声明函</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本单位郑重声明，根据《财政部民政部中国残疾人联合会关于促进残疾人就业政府采购政策的通知》（财库〔2017〕141号）的规定，本单位为符合条件的残疾人福利性单位，且本单位参加_____单位的______项目采购活动提供本单位制造的货物（由本单位承担工程/提供服务），或者提供其他残疾人福利性单位制造的货物（不包括使用非残疾人福利性单位注册商标的货物）。</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本单位对上述声明的真实性负责。如有虚假，将依法承担相应责任。</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480" w:firstLine="58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企业名称（盖章）：</w:t>
      </w:r>
      <w:r>
        <w:rPr>
          <w:color w:val="000000" w:themeColor="text1"/>
        </w:rPr>
      </w:r>
      <w:r/>
    </w:p>
    <w:p>
      <w:pPr>
        <w:ind w:left="0" w:right="480" w:firstLine="720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日期：</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41"/>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注：提供的</w:t>
      </w:r>
      <w:r>
        <w:rPr>
          <w:rFonts w:ascii="SimSun" w:hAnsi="SimSun" w:eastAsia="SimSun" w:cs="SimSun"/>
          <w:b/>
          <w:color w:val="000000" w:themeColor="text1"/>
          <w:sz w:val="26"/>
          <w:u w:val="single"/>
        </w:rPr>
        <w:t xml:space="preserve">残疾人福利性单位声明函</w:t>
      </w:r>
      <w:r>
        <w:rPr>
          <w:rFonts w:ascii="SimSun" w:hAnsi="SimSun" w:eastAsia="SimSun" w:cs="SimSun"/>
          <w:b/>
          <w:color w:val="000000" w:themeColor="text1"/>
          <w:sz w:val="24"/>
          <w:u w:val="single"/>
        </w:rPr>
        <w:t xml:space="preserve">须加盖有公章的彩色扫描件上传至电子投标文件中（如属于）。否则不可享受相应扶持政策。</w:t>
      </w:r>
      <w:r>
        <w:rPr>
          <w:color w:val="000000" w:themeColor="text1"/>
        </w:rPr>
      </w:r>
      <w:r/>
    </w:p>
    <w:p>
      <w:pPr>
        <w:ind w:left="0" w:right="0" w:firstLine="964"/>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single"/>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line="40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u w:val="none"/>
        </w:rPr>
        <w:t xml:space="preserve"> </w:t>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 </w:t>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rPr>
        <w:t xml:space="preserve">第四章 磋商采购内容</w:t>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281"/>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8"/>
        </w:rPr>
        <w:t xml:space="preserve">磋商采购内容</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江苏京苏项目管理咨询有限公司受苏州市相城区阳澄湖镇人民政府的委托，就其所需的2025年度度假区(阳澄湖镇)建筑垃圾清运服务采购项目采用竞争性磋商方式进行采购，欢迎有资格的磋商供应商前来参加本次磋商采购。</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一、采购编号：</w:t>
      </w:r>
      <w:r>
        <w:rPr>
          <w:rFonts w:ascii="SimSun" w:hAnsi="SimSun" w:eastAsia="SimSun" w:cs="SimSun"/>
          <w:color w:val="000000" w:themeColor="text1"/>
          <w:sz w:val="24"/>
        </w:rPr>
        <w:t xml:space="preserve">JSZC-320507-PMJS-C2025-0037</w:t>
      </w:r>
      <w:r>
        <w:rPr>
          <w:color w:val="000000" w:themeColor="text1"/>
        </w:rPr>
      </w:r>
      <w:r/>
    </w:p>
    <w:p>
      <w:pPr>
        <w:ind w:left="0" w:right="0" w:firstLine="241"/>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二、采购内容及要求：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（一）项目内容：</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1、服务范围:2025年度度假区(阳澄湖镇)建筑垃圾清运服务采购。</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2、建筑垃圾清运及处置内容：</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598"/>
        <w:gridCol w:w="1369"/>
        <w:gridCol w:w="4318"/>
        <w:gridCol w:w="710"/>
        <w:gridCol w:w="961"/>
        <w:gridCol w:w="1398"/>
      </w:tblGrid>
      <w:tr>
        <w:trPr>
          <w:trHeight w:val="760"/>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59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69"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项目名称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431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项目特征描述</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710"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计量</w:t>
              <w:br/>
              <w:t xml:space="preserve">单位</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96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预估工程量</w:t>
            </w:r>
            <w:r>
              <w:rPr>
                <w:color w:val="000000" w:themeColor="text1"/>
              </w:rPr>
            </w:r>
            <w:r/>
          </w:p>
        </w:tc>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13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备注</w:t>
            </w:r>
            <w:r>
              <w:rPr>
                <w:color w:val="000000" w:themeColor="text1"/>
              </w:rPr>
            </w:r>
            <w:r/>
          </w:p>
        </w:tc>
      </w:tr>
      <w:tr>
        <w:trPr>
          <w:trHeight w:val="99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9"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垃圾分拣</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1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垃圾（建筑垃圾、装修垃圾等）分拣、打包</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710" w:type="dxa"/>
            <w:vAlign w:val="center"/>
            <w:vMerge w:val="restart"/>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吨</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961" w:type="dxa"/>
            <w:vAlign w:val="center"/>
            <w:vMerge w:val="restart"/>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4000</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98" w:type="dxa"/>
            <w:vAlign w:val="center"/>
            <w:vMerge w:val="restart"/>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数量为暂估值，最终费用按实际数量结算。</w:t>
            </w:r>
            <w:r>
              <w:rPr>
                <w:color w:val="000000" w:themeColor="text1"/>
              </w:rPr>
            </w:r>
            <w:r/>
          </w:p>
        </w:tc>
      </w:tr>
      <w:tr>
        <w:trPr>
          <w:trHeight w:val="580"/>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9"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运输费</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1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垃圾装车、外运费用，运距包干</w:t>
            </w:r>
            <w:r>
              <w:rPr>
                <w:color w:val="000000" w:themeColor="text1"/>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r>
        <w:trPr>
          <w:trHeight w:val="745"/>
        </w:trPr>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59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1369"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垃圾处理</w:t>
            </w:r>
            <w:r>
              <w:rPr>
                <w:color w:val="000000" w:themeColor="text1"/>
              </w:rPr>
            </w:r>
            <w:r/>
          </w:p>
        </w:tc>
        <w:tc>
          <w:tcPr>
            <w:tcBorders>
              <w:top w:val="none" w:color="000000" w:sz="4" w:space="0"/>
              <w:left w:val="single" w:color="000000" w:sz="8" w:space="0"/>
              <w:bottom w:val="single" w:color="000000" w:sz="8" w:space="0"/>
              <w:right w:val="single" w:color="000000" w:sz="8" w:space="0"/>
            </w:tcBorders>
            <w:tcMar>
              <w:left w:w="15" w:type="dxa"/>
              <w:top w:w="15" w:type="dxa"/>
              <w:right w:w="15" w:type="dxa"/>
              <w:bottom w:w="0" w:type="dxa"/>
            </w:tcMar>
            <w:tcW w:w="431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垃圾处理，处理方法、结果需符合环保要求</w:t>
            </w:r>
            <w:r>
              <w:rPr>
                <w:color w:val="000000" w:themeColor="text1"/>
              </w:rPr>
            </w:r>
            <w:r/>
          </w:p>
        </w:tc>
        <w:tc>
          <w:tcPr>
            <w:vMerge w:val="continue"/>
            <w:textDirection w:val="lrTb"/>
            <w:noWrap w:val="false"/>
          </w:tcPr>
          <w:p>
            <w:r/>
            <w:r/>
          </w:p>
        </w:tc>
        <w:tc>
          <w:tcPr>
            <w:vMerge w:val="continue"/>
            <w:textDirection w:val="lrTb"/>
            <w:noWrap w:val="false"/>
          </w:tcPr>
          <w:p>
            <w:r/>
            <w:r/>
          </w:p>
        </w:tc>
        <w:tc>
          <w:tcPr>
            <w:vMerge w:val="continue"/>
            <w:textDirection w:val="lrTb"/>
            <w:noWrap w:val="false"/>
          </w:tcPr>
          <w:p>
            <w:r/>
            <w:r/>
          </w:p>
        </w:tc>
      </w:tr>
    </w:tbl>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3、运输路线：垃圾处理单位由成交单位自行选择，按实际结算，运输路线由响应单位自行考虑在报价内。</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4、每次作业时，需双秤确认：即运输前采购方秤磅确认，运输至处置点需再次秤磅确认，出具确认的数量核准凭证，结算时需提供采购单位确认的数量核准凭证，作为收/付费凭据，具体根据综合单价按实结算。</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5、服务地点：苏州市相城区阳澄湖镇（具体根据采购方要求为准）。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yellow"/>
        </w:rPr>
        <w:t xml:space="preserve">6、服务期限：按实结算，预算金额用完合同终止；或自合同签订之日起一年。</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（二）服务要求：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1、基本要求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 完成所产装修垃圾的收集、运输工作。垃圾处理可有投标单位与其他企业合作再生处置，垃圾的处理方法、结果须符合环保要求，需具备该企业营业执照以及双方的合同。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 投标单位需提供装修垃圾装车、运输以及车辆进入处置企业的照片。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 </w:t>
      </w:r>
      <w:r>
        <w:rPr>
          <w:rFonts w:ascii="SimSun" w:hAnsi="SimSun" w:eastAsia="SimSun" w:cs="SimSun"/>
          <w:b/>
          <w:color w:val="000000" w:themeColor="text1"/>
          <w:sz w:val="24"/>
        </w:rPr>
        <w:t xml:space="preserve">投标单位需具备处置企业出具的接收证明。（注：须在响应文件中提供证明材料或承诺中标后提供以上证明材料的承诺书）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1.4成交单位自合同生效之日起，按照采购单位要求清运辖内建筑（装修）垃圾至垃圾处理单位，保证堆积点建筑（装修）垃圾堆积不超过满容量三分之二或按照招标人指令执行。</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w:t>
      </w:r>
      <w:r>
        <w:rPr>
          <w:rFonts w:ascii="SimSun" w:hAnsi="SimSun" w:eastAsia="SimSun" w:cs="SimSun"/>
          <w:b/>
          <w:color w:val="000000" w:themeColor="text1"/>
          <w:sz w:val="24"/>
        </w:rPr>
        <w:t xml:space="preserve">成交单位须符合苏州市城市管理局文件有关苏州市区建筑垃圾（装修垃圾）运输企业的要求。具备相应的服务能力。（注：须在响应文件中提供证明材料或承诺中标后提供以上证明材料的承诺书）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1.6成交供应商应在转存点堆放建筑垃圾的四周要安装雾化喷淋的装置。</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1.7若因特殊原因，采购单位临时堆放在转存点的垃圾，成交单位应及时清理；成交单位每月须至小区清运。成交单位不得在转存点堆放建筑垃圾。</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2、人员及车辆要求 </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2.1 ☆作业人员基本配置：人员要求不低于5人，包含项目负责人1名，技术人员、驾驶员等。以上人员须为非退休人员，提供证明资料或者承诺函。</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2.2专业的垃圾清理人员要求：应具有多年丰富垃圾清理经验，能够及时清理垃圾场的残余垃圾。作业期间，符合安全生产规定进行作业，同时保证施工现场扬尘控制。</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2.3清运车辆驾驶员要求：</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988"/>
        <w:gridCol w:w="822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驾驶员应具备 3 年以上车辆驾驶经历，取得相应的道路货运从业资格证件；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驾驶员无酒驾、毒驾记录，两年内无承担全部责任或主要责任致人死亡的道路交通事故记录；</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88"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2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驾驶员无其他违法犯罪行为史</w:t>
            </w:r>
            <w:r>
              <w:rPr>
                <w:color w:val="000000" w:themeColor="text1"/>
              </w:rPr>
            </w:r>
            <w:r/>
          </w:p>
        </w:tc>
      </w:tr>
    </w:tbl>
    <w:p>
      <w:pPr>
        <w:ind w:left="21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2.4项目人员工作内容：</w:t>
      </w:r>
      <w:r>
        <w:rPr>
          <w:color w:val="000000" w:themeColor="text1"/>
        </w:rPr>
      </w:r>
      <w:r/>
    </w:p>
    <w:p>
      <w:pPr>
        <w:ind w:left="21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项目负责人具有一定装修垃圾清运管理经验。负责主持协调工作及内部行政管理、考核，制度执行。确保装修垃圾清运按时完成，达到采购人要求。垃圾清运作业期间项目负责人更换必须及时书面报告采购人。</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（2）驾驶员负责垃圾运输工作，保证本项目垃圾的正常运输。</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（3）安全管理人员负责项目的过程中的相关安全管理工作。</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（4）维修工主要负责车辆及设备维修，保证及时排除车辆及设备故障，保持车辆完好、作业流畅。</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（5）装修垃圾清运作业服务期内，采购人根据工作需要召开会议，成交单位项目负责人必须准时参加。</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 要求配备车辆、设备：</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（1）装修垃圾清运等设备设施：成交单位应配置用于建筑（装修）垃圾集中归类、装运、清运、地面清洁等工作的设备、工具、物料。如机械液压挖掘机、垃圾清运车、铲车、工作人员专业服饰装备等。</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（2）应根据规定规范配置垃圾清运车、禁止用农用车和拖拉机替代。</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（3）垃圾清运车辆配备采用符合采购人要求的专业车辆。车辆符合法律法规要求，具备购买或租赁手续，并具有车辆保险手续，所产生费用及事故责任均由成交单位承担。</w:t>
      </w:r>
      <w:r>
        <w:rPr>
          <w:color w:val="000000" w:themeColor="text1"/>
        </w:rPr>
      </w:r>
      <w:r/>
    </w:p>
    <w:p>
      <w:pPr>
        <w:ind w:left="0" w:right="0" w:firstLine="2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（4）坚持“固定”原则：固定车辆、固定人员、固定路线；认真做好运输、称重记录和及时上报。</w:t>
      </w:r>
      <w:r>
        <w:rPr>
          <w:color w:val="000000" w:themeColor="text1"/>
        </w:rPr>
      </w:r>
      <w:r/>
    </w:p>
    <w:p>
      <w:pPr>
        <w:ind w:left="0" w:right="0" w:firstLine="422"/>
        <w:jc w:val="both"/>
        <w:spacing w:before="0" w:after="12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☆装修垃圾清运设备基本配置：需配置至少2辆符合要求的清运车辆，提供相关证明资料或者承诺中标后配置的承诺函。具体要求如下：</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清运车辆要求</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4"/>
        <w:gridCol w:w="8504"/>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车辆必须在国家汽车产品公告目录中,车辆发动机必须符合国家环保部门要求的排放标准，且须为苏州本地号牌车辆。</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清运车辆需符合苏州市渣土处置协会文件苏渣协发【2020】1号关于装修垃圾运输车辆标准要求；车辆核定载质量不得低于1.49 吨，勾臂厢式车辆核定载质量不得低于4.99 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车辆需符合全密闭化运输的要求:自卸式车辆密闭装置为硬/软装自动装置，自苏渣协发【2020】1号发布之日起新购置的车辆须为出厂时自带的软装自动装置。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车辆驾驶室顶部统一安装印制有公司名称(简称)和车辆号牌的顶灯；</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应配置定位车载管理终端与信息系统，可实现车辆定位、限速、报警、车身视频(针对车顶密闭)等各项智能管理监控；每辆清运车辆全程进行定位、摄像监控，数据实时传输至我司；服务单位必须提供车辆基础信息，实时车速，行驶里程，实时定位和视频监控的http或其他可快速对接至我司的接口。</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车辆经过公安交通管理部门审验合格，涉及车辆的违章、违法行为执行完毕；</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车辆需按照《苏州市公安局关于严格工程运输自卸货车源头管理的通知》(公交[2020] 33号)的要求在车辆指定位置安装放大号牌。</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504"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车辆必须购置机动车交通事故强制保险和机动车交通事故第三者责任保险,车辆运营时统一使用公安交警部门核发的苏州渣土车专用号牌。</w:t>
            </w:r>
            <w:r>
              <w:rPr>
                <w:color w:val="000000" w:themeColor="text1"/>
              </w:rPr>
            </w:r>
            <w:r/>
          </w:p>
        </w:tc>
      </w:tr>
    </w:tbl>
    <w:p>
      <w:pPr>
        <w:ind w:left="0" w:right="0" w:firstLine="20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建筑（装修）垃圾运输审核要求表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43"/>
        <w:gridCol w:w="8611"/>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1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运输车辆应有合法的行驶证，并通过年审；</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运输单位应具有当地主管部门颁发的《道路运输许可证》；</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11"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具有建筑垃圾经营性运输服务能力</w:t>
            </w:r>
            <w:r>
              <w:rPr>
                <w:color w:val="000000" w:themeColor="text1"/>
              </w:rPr>
            </w:r>
            <w:r/>
          </w:p>
        </w:tc>
      </w:tr>
    </w:tbl>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 运送装卸防尘设施设备：装卸工作，做到随挖随外运，施工运输车辆、设备必须有车厢自动翻盖实施封闭，出工地前必须作除尘、除泥处理，防止出场车辆将泥土、尘土带入城市道路;集中堆放及时覆盖防尘网，根据天气状况定时撒水除尘。</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3、作业质量标准要求</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 通用标准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3.1.1 作业人员统一着装、佩证上岗。禁止使用超龄人员（男：年满 60 岁、女：年满 50 岁人员</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3.1.2 作业人员无拾荒行为，无聚堆闲聊、瞌睡或做与工作无关之事。</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3.1.3 作业文明，采取有效措施减少噪音、占道等作业扰民问题。</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3.2 建筑（装修）垃圾运输作业要求表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1069"/>
        <w:gridCol w:w="8285"/>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42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建筑垃圾运输车运行时间安排应避开交通高峰时段，以减少对交通的影响;</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建筑垃圾运输车辆的运输路线，应由当地建筑垃圾主管部门会同交通管理部门规定;</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运输单位将建筑垃圾倾倒在核准的处理地点后，取得受纳场地管理单位签发的回执，交送当地建筑垃圾主管部门查验。</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建筑筑垃圾运输车辆应容貌整洁、外观完整、标志齐全。</w:t>
              <w:br/>
              <w:t xml:space="preserve"> 1)车辆车窗、挡风玻璃、反光镜、车灯应明亮，无浮尘、无污迹;</w:t>
              <w:br/>
              <w:t xml:space="preserve"> 2)车辆车牌号应清晰、无明显污渍，距车牌 15m 处能清晰分辨车牌上的字迹;</w:t>
              <w:br/>
              <w:t xml:space="preserve"> 3)车厢厢体、厢盖外表面光滑平整，无明显的凹陷和变形。车厢外部锈蚀或油漆剥落单块面积不得超过0.01平方米，总面积不得超过0.05平方米;</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4)车辆底盘无大块泥沙等附着物，轻轻敲打时，无块状泥沙等污渍脱落。</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5)建筑垃圾装载高度低于车厢栏板高度，装载量不超过车辆额定载重量。</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6)车辆装载完毕后,厢盖关闭到位，并检查车厢卸料门锁紧装置，保证锁紧有效、可靠。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7)车厢液压举升机构及厢盖液压、启闭机构的液压部件各结合面无明显渗漏。</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8)运输单位定期对车辆进行维护和检测，保证车况完好。</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 出门车辆必须对车辆进行冲洗，保证灰土不带出工地</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10)运输单位定期对车辆进行维护和检测，保证车况完好。</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1069" w:type="dxa"/>
            <w:vAlign w:val="center"/>
            <w:textDirection w:val="lrTb"/>
            <w:noWrap w:val="false"/>
          </w:tcPr>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285"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清运中注意的问题:</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1)清理施工垃圾时使用铲车装载，严禁随意凌空抛撤造成扬尘。装修垃圾及时清运，清运时，适量洒水减少扬尘。</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2)易飞扬的废料尽量保持湿润，如露天存放时采用严密遮盖。运输和卸运时防止遗洒飞扬。</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3)在清运过程中应注意安全。</w:t>
            </w:r>
            <w:r>
              <w:rPr>
                <w:color w:val="000000" w:themeColor="text1"/>
              </w:rPr>
            </w:r>
            <w:r/>
          </w:p>
        </w:tc>
      </w:tr>
    </w:tbl>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3.3内业资料同步制度：日常运输计量台账、场地安全管理检查记录、外运过磅记录等材料要齐全。</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4、装修垃圾装运车操作规范</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4.1 垃圾装运车进入装修垃圾堆放点时应谨慎操作，小心驾驶，密切注意周围情况，倒车时注意车后情况，听从现场工作人员的指挥，绝对禁止有人在车厢结合部，要待人员离开后再进行操作驾驶车辆。以防人身机械事故的发生。</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4.2 倾倒垃圾时，应小心谨慎操作，遵守现场规章制度。</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4.3 每次运完垃圾，应及时清洗车辆，保证车辆的整洁。</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4.4 现场应做好卫生管理和安全管理。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 应急预案</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服务单位应建立建全应急预案。入场前需提供针对重大传染应急预案、针对盗窃和破坏事件应急预案、针对中暑应急预案、针对谣言传播应急预案等进行报备。</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6、安全生产保证</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单位必须坚持“安全第一、预防为主”的方针，严格遵守招标人安全生产要求，杜绝安全事故的发生，建立建全安全管理体系和安全生产责任制。根据安全生产责任制的要求，把安全责任目标分解到岗，落实到人。因服务单位原因出现安全事故，由服务单位承担全部责任。</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安全保证计划表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45"/>
        <w:gridCol w:w="8443"/>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43"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根据项目安全目标配置必要的资源，确保作业安全，保证目标的实现。专业性较强的作业项目，应编制专项安全作业组织设计并采取安全技术措施。</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根据项目特点、作业方法、作业工序、安全法规和标准的要求，采取可靠的技术措施，消除隐患，保证作业安全。</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对作业难度大、安全风险大的作业项目，除制定项目安全技术总体安全保证计划外，还必须制定专项安全作业技术措施。</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45"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43"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安全技术措施应包括:防火、防毒、防爆、防尘、防触电、防物体打击、防机械伤害、防高空坠落、防交通事故、防寒、防暑、防疫、防环境污</w:t>
              <w:br/>
              <w:t xml:space="preserve">染等方面的措施。</w:t>
            </w:r>
            <w:r>
              <w:rPr>
                <w:color w:val="000000" w:themeColor="text1"/>
              </w:rPr>
            </w:r>
            <w:r/>
          </w:p>
        </w:tc>
      </w:tr>
    </w:tbl>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安全教育措施表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886"/>
        <w:gridCol w:w="8402"/>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402"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2"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服务单位应建立安全生产教育制度未经作业安全生产教育的人员不得，上岗作业。</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2"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定期开展日常性安全教育培训，保存培训记录。</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886" w:type="dxa"/>
            <w:vAlign w:val="center"/>
            <w:textDirection w:val="lrTb"/>
            <w:noWrap w:val="false"/>
          </w:tcPr>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402"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熟知招标人的相关安全管理制度和规范要求。</w:t>
              <w:br/>
              <w:t xml:space="preserve">工作人员安全教育内容包括:了解所承担作业任务的特点，学习作业安全基本知识、安全生产制度及相关工种的安全技术操作规程;学习作业机具设备使用等安全基本知识；学习防火、防毒、防尘、防雷击、防触电、防高空坠落、防物体打击、防机械伤害知识及紧急安全救护知识。</w:t>
            </w:r>
            <w:r>
              <w:rPr>
                <w:color w:val="000000" w:themeColor="text1"/>
              </w:rPr>
            </w:r>
            <w:r/>
          </w:p>
        </w:tc>
      </w:tr>
    </w:tbl>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 管理考核及质量标准</w:t>
      </w:r>
      <w:r>
        <w:rPr>
          <w:color w:val="000000" w:themeColor="text1"/>
        </w:rPr>
      </w:r>
      <w:r/>
    </w:p>
    <w:p>
      <w:pPr>
        <w:ind w:left="0" w:right="0" w:firstLine="42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服务单位应建立建全对工作人员的考核方法，加强对工作人员的安全生产、质量控制、文明施工、工作进度的管理，建立完善的台账资料。招标人不定期检查垃圾清运情况，对检查中发现的问题做到及时整改，确保各项工作顺利进行。</w:t>
      </w:r>
      <w:r>
        <w:rPr>
          <w:color w:val="000000" w:themeColor="text1"/>
        </w:rPr>
      </w:r>
      <w:r/>
    </w:p>
    <w:p>
      <w:pPr>
        <w:ind w:left="0" w:right="0" w:firstLine="231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垃圾清运质量标准表</w:t>
      </w:r>
      <w:r>
        <w:rPr>
          <w:color w:val="000000" w:themeColor="text1"/>
        </w:rPr>
      </w:r>
      <w:r/>
    </w:p>
    <w:tbl>
      <w:tblPr>
        <w:tblStyle w:val="879"/>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Look w:val="04A0" w:firstRow="1" w:lastRow="0" w:firstColumn="1" w:lastColumn="0" w:noHBand="0" w:noVBand="1"/>
      </w:tblPr>
      <w:tblGrid>
        <w:gridCol w:w="728"/>
        <w:gridCol w:w="8626"/>
      </w:tblGrid>
      <w:tr>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序号 </w:t>
            </w:r>
            <w:r>
              <w:rPr>
                <w:color w:val="000000" w:themeColor="text1"/>
              </w:rPr>
            </w:r>
            <w:r/>
          </w:p>
        </w:tc>
        <w:tc>
          <w:tcPr>
            <w:tcBorders>
              <w:top w:val="single" w:color="000000" w:sz="8" w:space="0"/>
              <w:left w:val="none" w:color="000000" w:sz="4" w:space="0"/>
              <w:bottom w:val="single" w:color="000000" w:sz="8" w:space="0"/>
              <w:right w:val="single" w:color="000000" w:sz="8" w:space="0"/>
            </w:tcBorders>
            <w:tcMar>
              <w:left w:w="108" w:type="dxa"/>
              <w:top w:w="0" w:type="dxa"/>
              <w:right w:w="108" w:type="dxa"/>
              <w:bottom w:w="0" w:type="dxa"/>
            </w:tcMar>
            <w:tcW w:w="862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项目</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垃圾运输车辆车体无损，做到密闭化运输，不污染道路环境、后档板必须挂好，在垃圾运输过程中不得出现洒、滴、漏现象。</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严格按照交通规则，按指定路线行驶。</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垃圾清运要做到日产日清无积存。</w:t>
            </w:r>
            <w:r>
              <w:rPr>
                <w:color w:val="000000" w:themeColor="text1"/>
              </w:rPr>
            </w:r>
            <w:r/>
          </w:p>
        </w:tc>
      </w:tr>
      <w:tr>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728"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 </w:t>
            </w:r>
            <w:r>
              <w:rPr>
                <w:color w:val="000000" w:themeColor="text1"/>
              </w:rPr>
            </w:r>
            <w:r/>
          </w:p>
        </w:tc>
        <w:tc>
          <w:tcPr>
            <w:tcBorders>
              <w:top w:val="none" w:color="000000" w:sz="4" w:space="0"/>
              <w:left w:val="none" w:color="000000" w:sz="4" w:space="0"/>
              <w:bottom w:val="single" w:color="000000" w:sz="8" w:space="0"/>
              <w:right w:val="single" w:color="000000" w:sz="8" w:space="0"/>
            </w:tcBorders>
            <w:tcMar>
              <w:left w:w="108" w:type="dxa"/>
              <w:top w:w="0" w:type="dxa"/>
              <w:right w:w="108" w:type="dxa"/>
              <w:bottom w:w="0" w:type="dxa"/>
            </w:tcMar>
            <w:tcW w:w="8626" w:type="dxa"/>
            <w:vAlign w:val="center"/>
            <w:textDirection w:val="lrTb"/>
            <w:noWrap w:val="false"/>
          </w:tcPr>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垃圾运输车辆保持整洁，队容、队貌达到迎检标准。</w:t>
            </w:r>
            <w:r>
              <w:rPr>
                <w:color w:val="000000" w:themeColor="text1"/>
              </w:rPr>
            </w:r>
            <w:r/>
          </w:p>
        </w:tc>
      </w:tr>
    </w:tbl>
    <w:p>
      <w:pPr>
        <w:ind w:left="0" w:right="0" w:firstLine="482"/>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（三）其它要求：</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1、成交单位的用工必须符合国家用工的相关规定。</w:t>
      </w:r>
      <w:r>
        <w:rPr>
          <w:color w:val="000000" w:themeColor="text1"/>
        </w:rPr>
      </w:r>
      <w:r/>
    </w:p>
    <w:p>
      <w:pPr>
        <w:ind w:left="0" w:right="0" w:firstLine="48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成交单位须严格按照国家和政府规定给所有的员工缴纳各种社会保险（包括养老、医疗、工伤、生育险、失业保险等）。负责其员工的一切工资、福利；如发生工伤、疾病乃至死亡的一切责任及费用由成交单位全部负责；应严格遵守国家有关的法律、法规及行业标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三、综合说明及其他要求：</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1、投标人应对招标文件提出的全部服务要求进行响应投标，如果其中某些条款不响应时，应在文件中逐条列出，未列出的视同响应。</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投标人提供的投标文件内容须真实、准确、有效，如提供虚假材料或对招标文件所要求说明的情况故意隐瞒或虚报，视为不实质性响应招标要求，其投标文件将被拒绝。已中标的将取消中标资格，并按《中华人民共和国政府采购法》第七十七条的相关办法处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3、中标单位对服务缺陷不予更正，采购人有权另请其他单位更正，所发生的费用在未付款中扣除。如遇服务范围内有大的调整等重大情况，采购人将提前告知中标单位，合同内容经双方协商调整。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4、如涉及分包：小型、微型企业不得分包或转包给大型、中型企业，中型企业不得分包或转包给大型企业。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5、凡涉及招标文件的补充说明和修改，均以苏州市政府采购网公示的补充通知为准。</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 </w:t>
      </w:r>
      <w:r>
        <w:rPr>
          <w:color w:val="000000" w:themeColor="text1"/>
        </w:rPr>
      </w:r>
      <w:r/>
    </w:p>
    <w:p>
      <w:pPr>
        <w:ind w:left="0" w:right="0" w:firstLine="0"/>
        <w:jc w:val="center"/>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52"/>
        </w:rPr>
        <w:t xml:space="preserve">第五章 合同条款</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采购人（全称）：          （以下简称甲方）</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供应商（全称）：（以下简称乙方）</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联系人：</w:t>
      </w:r>
      <w:r>
        <w:rPr>
          <w:color w:val="000000" w:themeColor="text1"/>
        </w:rPr>
      </w:r>
      <w:r/>
    </w:p>
    <w:p>
      <w:pPr>
        <w:ind w:left="0" w:right="0" w:firstLine="24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联系方式：</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根据《中华人民共和国民法典》有关规定，为明确采购人（甲方）和供应商（乙方）购销过程中的权利、义务和经济责任，经双方友好协商，甲乙双方就</w:t>
      </w:r>
      <w:r>
        <w:rPr>
          <w:rFonts w:ascii="SimSun" w:hAnsi="SimSun" w:eastAsia="SimSun" w:cs="SimSun"/>
          <w:color w:val="000000" w:themeColor="text1"/>
          <w:sz w:val="24"/>
          <w:u w:val="single"/>
        </w:rPr>
        <w:t xml:space="preserve">2025年度度假区(阳澄湖镇)建筑垃圾清运服务采购项目</w:t>
      </w:r>
      <w:r>
        <w:rPr>
          <w:rFonts w:ascii="SimSun" w:hAnsi="SimSun" w:eastAsia="SimSun" w:cs="SimSun"/>
          <w:color w:val="000000" w:themeColor="text1"/>
          <w:sz w:val="24"/>
        </w:rPr>
        <w:t xml:space="preserve">事宜，签订本合同书。</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一、合同的标的物</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1、乙方负责完成甲方的</w:t>
      </w:r>
      <w:r>
        <w:rPr>
          <w:rFonts w:ascii="SimSun" w:hAnsi="SimSun" w:eastAsia="SimSun" w:cs="SimSun"/>
          <w:color w:val="000000" w:themeColor="text1"/>
          <w:sz w:val="24"/>
          <w:u w:val="single"/>
        </w:rPr>
        <w:t xml:space="preserve"> 2025年度度假区(阳澄湖镇)建筑垃圾清运服务采购项目</w:t>
      </w:r>
      <w:r>
        <w:rPr>
          <w:rFonts w:ascii="SimSun" w:hAnsi="SimSun" w:eastAsia="SimSun" w:cs="SimSun"/>
          <w:color w:val="000000" w:themeColor="text1"/>
          <w:sz w:val="24"/>
        </w:rPr>
        <w:t xml:space="preserve">服务工作。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highlight w:val="yellow"/>
        </w:rPr>
        <w:t xml:space="preserve">2、服务期限：按实结算，预算金额用完合同终止；或自合同签订之日起一年。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3、服务内容及要求：详见采购文件。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4、下列文件为本合同不可分割部分：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①中标通知书；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②招标文件；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③乙方中标的投标书；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④乙方在招投标过程中所作的其它承诺、声明、书面澄清等。</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以上文件与本合同具有同等法律效力，若与本合同内容有冲突的，则以本合同内容为准。如上述文件之间存在冲突或不一致的，以排列序位在前的文件为准，同一序位的文件以形成时间在后的为准。</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二、合同价款与支付</w:t>
      </w:r>
      <w:r>
        <w:rPr>
          <w:color w:val="000000" w:themeColor="text1"/>
        </w:rPr>
      </w:r>
      <w:r/>
    </w:p>
    <w:p>
      <w:pPr>
        <w:ind w:left="0" w:right="0" w:firstLine="480"/>
        <w:jc w:val="both"/>
        <w:spacing w:before="0" w:after="0" w:line="438"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2.1合同总金额为暂定人民币</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元（金额小写</w:t>
      </w:r>
      <w:r>
        <w:rPr>
          <w:rFonts w:ascii="SimSun" w:hAnsi="SimSun" w:eastAsia="SimSun" w:cs="SimSun"/>
          <w:color w:val="000000" w:themeColor="text1"/>
          <w:sz w:val="24"/>
          <w:u w:val="single"/>
        </w:rPr>
        <w:t xml:space="preserve">：    </w:t>
      </w:r>
      <w:r>
        <w:rPr>
          <w:rFonts w:ascii="SimSun" w:hAnsi="SimSun" w:eastAsia="SimSun" w:cs="SimSun"/>
          <w:color w:val="000000" w:themeColor="text1"/>
          <w:sz w:val="24"/>
        </w:rPr>
        <w:t xml:space="preserve">），合同单价</w:t>
      </w:r>
      <w:r>
        <w:rPr>
          <w:rFonts w:ascii="SimSun" w:hAnsi="SimSun" w:eastAsia="SimSun" w:cs="SimSun"/>
          <w:color w:val="000000" w:themeColor="text1"/>
          <w:sz w:val="24"/>
          <w:u w:val="single"/>
        </w:rPr>
        <w:t xml:space="preserve"> 每吨   元，</w:t>
      </w:r>
      <w:r>
        <w:rPr>
          <w:rFonts w:ascii="SimSun" w:hAnsi="SimSun" w:eastAsia="SimSun" w:cs="SimSun"/>
          <w:color w:val="000000" w:themeColor="text1"/>
          <w:sz w:val="24"/>
        </w:rPr>
        <w:t xml:space="preserve">最终费用按实际数量结算。包括全部服务所需的人工费（含奖金、社会保障金、加班费等）、通讯费、交通费、机械费、成交服务费、管理、保险、利润、税金、政策性文件规定及合同包含的所有风险、责任等完成本项目的各项应有费用。同时，除非合同条款中另有规定，否则，响应单位所报价格在合同实施期间不因市场变化因素而变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rPr>
        <w:t xml:space="preserve">2.2付款方式：</w:t>
      </w:r>
      <w:r>
        <w:rPr>
          <w:rFonts w:ascii="SimSun" w:hAnsi="SimSun" w:eastAsia="SimSun" w:cs="SimSun"/>
          <w:color w:val="000000" w:themeColor="text1"/>
          <w:spacing w:val="8"/>
          <w:sz w:val="24"/>
          <w:highlight w:val="yellow"/>
          <w:u w:val="none"/>
        </w:rPr>
        <w:t xml:space="preserve">合同生效后，在服务期内按进度分期支付，验收（考核）前最高付至合同价的20%，验收（考核）合格后支付至合同价的70%，余款在全部验收（考核）合格后1年内付清。</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rPr>
        <w:t xml:space="preserve">根据甲方签字确认的实际数量为准。</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rPr>
        <w:t xml:space="preserve">本项目付款由苏州市相城区阳澄湖镇综合行政执法和安全生产监督管理办公室支付</w:t>
      </w:r>
      <w:r>
        <w:rPr>
          <w:rFonts w:ascii="SimSun" w:hAnsi="SimSun" w:eastAsia="SimSun" w:cs="SimSun"/>
          <w:color w:val="000000" w:themeColor="text1"/>
          <w:spacing w:val="8"/>
          <w:sz w:val="24"/>
          <w:u w:val="single"/>
        </w:rPr>
        <w:t xml:space="preserve">。</w:t>
      </w:r>
      <w:r>
        <w:rPr>
          <w:color w:val="000000" w:themeColor="text1"/>
        </w:rPr>
      </w:r>
      <w:r/>
    </w:p>
    <w:p>
      <w:pPr>
        <w:ind w:left="0" w:right="0" w:firstLine="51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pacing w:val="8"/>
          <w:sz w:val="24"/>
        </w:rPr>
        <w:t xml:space="preserve">2.3</w:t>
      </w:r>
      <w:r>
        <w:rPr>
          <w:rFonts w:ascii="SimSun" w:hAnsi="SimSun" w:eastAsia="SimSun" w:cs="SimSun"/>
          <w:color w:val="000000" w:themeColor="text1"/>
          <w:sz w:val="24"/>
        </w:rPr>
        <w:t xml:space="preserve">根据现行税法对甲方征收的与本合同有关的一切税费均由甲方承担；根据现行税法对乙方征收的与本合同有关的一切税费均由乙方承担。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2.4支付方式：银行转账、银行汇票或转账支票，具体支付方式甲方有权根据财务安排自主选择。以</w:t>
      </w:r>
      <w:r>
        <w:rPr>
          <w:rFonts w:ascii="SimSun" w:hAnsi="SimSun" w:eastAsia="SimSun" w:cs="SimSun"/>
          <w:color w:val="000000" w:themeColor="text1"/>
          <w:sz w:val="24"/>
          <w:u w:val="single"/>
        </w:rPr>
        <w:t xml:space="preserve">甲方</w:t>
      </w:r>
      <w:r>
        <w:rPr>
          <w:rFonts w:ascii="SimSun" w:hAnsi="SimSun" w:eastAsia="SimSun" w:cs="SimSun"/>
          <w:color w:val="000000" w:themeColor="text1"/>
          <w:sz w:val="24"/>
        </w:rPr>
        <w:t xml:space="preserve">实际支付方式为准。付款前，乙方须先向甲方提供确认数量的核准凭证，以甲方具体要求为准。</w:t>
      </w:r>
      <w:r>
        <w:rPr>
          <w:color w:val="000000" w:themeColor="text1"/>
        </w:rPr>
      </w:r>
      <w:r/>
    </w:p>
    <w:p>
      <w:pPr>
        <w:ind w:left="0" w:right="-161"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2.5付款前，乙方需先向甲方提供：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A、合格的发票。</w:t>
      </w:r>
      <w:r>
        <w:rPr>
          <w:color w:val="000000" w:themeColor="text1"/>
        </w:rPr>
      </w:r>
      <w:r/>
    </w:p>
    <w:p>
      <w:pPr>
        <w:ind w:left="0" w:right="-161"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B、</w:t>
      </w:r>
      <w:r>
        <w:rPr>
          <w:rFonts w:ascii="SimSun" w:hAnsi="SimSun" w:eastAsia="SimSun" w:cs="SimSun"/>
          <w:color w:val="000000" w:themeColor="text1"/>
          <w:sz w:val="24"/>
          <w:u w:val="single"/>
        </w:rPr>
        <w:t xml:space="preserve">全部完成，</w:t>
      </w:r>
      <w:r>
        <w:rPr>
          <w:rFonts w:ascii="SimSun" w:hAnsi="SimSun" w:eastAsia="SimSun" w:cs="SimSun"/>
          <w:color w:val="000000" w:themeColor="text1"/>
          <w:sz w:val="24"/>
        </w:rPr>
        <w:t xml:space="preserve">需方与供方双方验收合格的，</w:t>
      </w:r>
      <w:r>
        <w:rPr>
          <w:rFonts w:ascii="SimSun" w:hAnsi="SimSun" w:eastAsia="SimSun" w:cs="SimSun"/>
          <w:color w:val="000000" w:themeColor="text1"/>
          <w:sz w:val="24"/>
          <w:u w:val="single"/>
        </w:rPr>
        <w:t xml:space="preserve">签属</w:t>
      </w:r>
      <w:r>
        <w:rPr>
          <w:rFonts w:ascii="SimSun" w:hAnsi="SimSun" w:eastAsia="SimSun" w:cs="SimSun"/>
          <w:color w:val="000000" w:themeColor="text1"/>
          <w:sz w:val="24"/>
        </w:rPr>
        <w:t xml:space="preserve"> 《政府采购履约验收书（服务类）》。</w:t>
      </w:r>
      <w:r>
        <w:rPr>
          <w:color w:val="000000" w:themeColor="text1"/>
        </w:rPr>
      </w:r>
      <w:r/>
    </w:p>
    <w:p>
      <w:pPr>
        <w:ind w:left="0" w:right="-161"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乙方未按约定提供上述资料的，甲方有权迟延付款且不承担迟延付款的违约责任。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2.7乙方</w:t>
      </w:r>
      <w:r>
        <w:rPr>
          <w:rFonts w:ascii="SimSun" w:hAnsi="SimSun" w:eastAsia="SimSun" w:cs="SimSun"/>
          <w:color w:val="000000" w:themeColor="text1"/>
          <w:sz w:val="24"/>
          <w:u w:val="single"/>
        </w:rPr>
        <w:t xml:space="preserve">收款的</w:t>
      </w:r>
      <w:r>
        <w:rPr>
          <w:rFonts w:ascii="SimSun" w:hAnsi="SimSun" w:eastAsia="SimSun" w:cs="SimSun"/>
          <w:color w:val="000000" w:themeColor="text1"/>
          <w:sz w:val="24"/>
        </w:rPr>
        <w:t xml:space="preserve">开户银行名称、地址、账号为：</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户名：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开户银行：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帐号：</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地址：</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u w:val="single"/>
        </w:rPr>
        <w:t xml:space="preserve">除双方另有约定外，未经双方书面协商一致，乙方不得擅自变更收款账户信息，也不得转让债权；未经甲方书面同意的债权转让对甲方不发生法律效力，甲方仍有权按照合同约定账户支付费用。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三、甲方的权利和义务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1、甲方有对乙方工作进行检查监督和提出整改意见的权利。乙方应在接到甲方指示后无条件配合检查并立即进行整改，检查监督范围包括乙方清运垃圾的全过程。</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 、甲方有要求乙方更换乙方工作人员的权利， 乙方工作人员在上岗之前应做好培训工作，要求工作人员遵守甲方的管理制度，礼貌接受甲方工作人员的工作指导和改进建议。对甲方提出的一切问题应及时准确的汇报给乙方主要负责人。甲方有要求乙方更换不符合甲方需要的工作人员的权利，乙方应当无条件配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3、甲方按照本合同规定时间支付乙方垃圾清运费用服务的义务。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4、发现乙方有垃圾偷倒或加装其它垃圾等行为，甲方有权立即解除合同，给甲方造成的一切经济损失(包括直接损失和间接损失)均由乙方承担。</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四、乙方的权利和义务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1、乙方本合同的约定提供建筑垃圾清运服务。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2、自觉接受、配合甲方的检查和监督，并对甲方根据合同规定权利和标准所提出的要求及时整改和处理。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3、乙方应具备应付各类运输过程中突发情况的能力，确保垃圾能及时快捷的处理。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4、管理期限内因乙方（包括乙方清运人员）原因造成甲方、乙方（包括乙方清运人员）或第三方人身伤害或财产损失的，乙方应承担所有赔偿贞任。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乙方应确保具有垃圾清运资质，并维待资质有效直至本合同履行完毕。若在合同屡行期内乙方出现被吊销执照、暂停营业、营业范围变更等情形，甲方有权立即解除合同，要求乙方承担违约责任。若甲方临时聘用其他专业人员进行替代的， 乙方应承担全部费用。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6、乙方使用车辆运输垃圾必须密闭装运，且沿途不得有垃圾洒落滴漏，杜绝二次污染。</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7、乙方保证在清运垃圾的作业过程中，应做到运输及时、作业文明，不得有抛、洒、滴、漏等情况发生，以免造成二次污染，影响环境卫生。如造成二次污染的，乙方应立即采取补救措施，费用自担。</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五、质量与验收</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应按照采购文件的有关规定提供合格服务；包括但不限于安全、卫生、及时、按规定的路线行驶、实时接受监管等。乙方应保证完成甲方采购的服务要求，在乙方承诺的服务期限内，乙方应对由于自身原因造成的任何不足或故障负责。</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应完成甲方所指定的垃圾清运且环保、安全符合规定视为合格(符合相关监管部门对车辆运行路线及抛洒滴漏方面的要求，运输时间上合理安排不得扰民）。在考核过程中，甲方将对不符合规范的情况记录在案，并按考核规定扣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3、采购合同履行中，采购人需追加与合同标的相同货物、工程或者服务的，在不改变合同其他条款的前提下，可以与投标人签订补充合同，但所有补充合同的采购金额不得超过原合同采购金额的10%。</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4、本项目将根据政府采购法及相关法规以及《江苏省政府采购履约验收管理办法》文件的规定进行验收。</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六、违约责任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1、甲方违约责任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A、在合同生效后，甲方要求终止服务的，应向乙方偿付合同总价款的2%，作为违约金，违约金不足以补偿损失的，乙方有权要求甲方补足。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B、甲方逾期付款的应按照逾期付款金额的每天万分之四支付逾期付款违约金。</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C、甲方违反合同规定，拒绝接收乙方提供的服务，应当承担乙方由此造成的损失。</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2、乙方违约责任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A、乙方不能提供服务（逾期超过一天视为不能提供服务），或提供服务不合格从而影响甲方的，应向甲方支付违约金1000元每天，违约金不足以赔偿损失的甲方有权要求乙方补足。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B、乙方逾期提供服务的，应在逾期前与甲方协商，甲方仍要求的，乙方应立即提供服务并应按照合同约定支付逾期提供服务的违约金，同时承担甲方因此遭致的损失费用。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C、乙方履约过程中，如未按照标准、经甲方批准或要求、专家评审后的方案等一系列关于建筑装修垃圾清运要求进行的，给甲方造成任何不利影响（包括但不仅限于名誉受损、罚款、处罚等）均由乙方承担，造成的经济损失均由乙方支付。</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D、在合同生效后，乙方要求终止服务的，应向甲方偿付合同总价款的2%，作为违约金，违约金不足以补偿损失的，甲方有权要求乙方补足。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3、乙方应遵守甲方的相关管理制度。出现下列情形之一的，由乙方承担所有的损失，向甲方进行赔偿并支付违约金:</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(1)服务单位未能遵守招标人管理制度的,服务单位向招标人支付违约金5000元每次。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(2)因乙方原因导致甲方或其他第三人权益受损的,乙方向甲方支付违约金5000元每次。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(3)因乙方原因导致接到投诉的,乙方向甲方支付违约金500元每次。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(4)乙方未能按时完成工作量，出现逾期情况的,乙方向甲方支付违约金10000元每次。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(5)受到行政处罚,乙方向甲方支付违约金1000元每次。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(6)发生人身伤害事故的,乙方向甲方支付违约金1000元每次。</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(7)乙方因未充分考虑合作成本问题，单方提出提价或中/终止履行合同义务,乙方向甲方支付违约金1000元每次。</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七、不可抗力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1、因不可抗力不能履行合同的，根据不可抗力的影响，部分或者全部免除责任。但合同一方延迟履行后发生不可抗力的，不能免除责任。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2、合同一方因不可抗力不能履行合同的，应当及时通知对方，以减轻可能给对方造成的损失，并应当在合理期限内提供证明。</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八、合同的解除和转让</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1、甲方和乙方协商一致，可以解除合同。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2、有下列情形之一，合同一方可以解除合同：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3、因不可抗力致使不能实现合同目的，未受不可抗力影响的一方有权解除合同；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4、因合同一方违约导致合同不能履行，另一方有权解除合同；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5、有权解除合同的一方，应当在违约事实或不可抗力发生之后</w:t>
      </w:r>
      <w:r>
        <w:rPr>
          <w:rFonts w:ascii="SimSun" w:hAnsi="SimSun" w:eastAsia="SimSun" w:cs="SimSun"/>
          <w:color w:val="000000" w:themeColor="text1"/>
          <w:sz w:val="24"/>
          <w:u w:val="single"/>
        </w:rPr>
        <w:t xml:space="preserve">及时</w:t>
      </w:r>
      <w:r>
        <w:rPr>
          <w:rFonts w:ascii="SimSun" w:hAnsi="SimSun" w:eastAsia="SimSun" w:cs="SimSun"/>
          <w:color w:val="000000" w:themeColor="text1"/>
          <w:sz w:val="24"/>
        </w:rPr>
        <w:t xml:space="preserve">书面通知对方以主张解除合同，合同在书面通知到达对方时解除。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6、合同的不得全部转让。</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九、争议的解决</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甲乙双方因合同发生争议，应在招标机构的主持下进行调解，协商不成，任何一方可以向甲方所在地人民法院起诉。</w:t>
      </w:r>
      <w:r>
        <w:rPr>
          <w:rFonts w:ascii="SimSun" w:hAnsi="SimSun" w:eastAsia="SimSun" w:cs="SimSun"/>
          <w:color w:val="000000" w:themeColor="text1"/>
          <w:sz w:val="24"/>
          <w:u w:val="none"/>
        </w:rPr>
        <w:t xml:space="preserve">若由于乙方违约或乙方追究甲方违约不成立的而产生纠纷的，甲方为处理纠纷产生的费用由乙方承担，该费用包括但不限于保全费、诉讼费、鉴定费、律师费、差旅费等</w:t>
      </w:r>
      <w:r>
        <w:rPr>
          <w:rFonts w:ascii="SimSun" w:hAnsi="SimSun" w:eastAsia="SimSun" w:cs="SimSun"/>
          <w:color w:val="000000" w:themeColor="text1"/>
          <w:sz w:val="24"/>
          <w:u w:val="single"/>
        </w:rPr>
        <w:t xml:space="preserve">。</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十、其它</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1、本合同所有附件及政府采购文件均为合同的有效组成部分，与本合同具有同等法律效力。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2、在执行本合同的过程中，所有经双方签署确认的文件（包括会议纪要、补充协议、往来信函）即成为本合同的有效组成部分。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3、如一方地址、</w:t>
      </w:r>
      <w:r>
        <w:rPr>
          <w:rFonts w:ascii="SimSun" w:hAnsi="SimSun" w:eastAsia="SimSun" w:cs="SimSun"/>
          <w:color w:val="000000" w:themeColor="text1"/>
          <w:sz w:val="24"/>
          <w:u w:val="single"/>
        </w:rPr>
        <w:t xml:space="preserve">联系人及</w:t>
      </w:r>
      <w:r>
        <w:rPr>
          <w:rFonts w:ascii="SimSun" w:hAnsi="SimSun" w:eastAsia="SimSun" w:cs="SimSun"/>
          <w:color w:val="000000" w:themeColor="text1"/>
          <w:sz w:val="24"/>
        </w:rPr>
        <w:t xml:space="preserve">电话</w:t>
      </w:r>
      <w:r>
        <w:rPr>
          <w:rFonts w:ascii="SimSun" w:hAnsi="SimSun" w:eastAsia="SimSun" w:cs="SimSun"/>
          <w:color w:val="000000" w:themeColor="text1"/>
          <w:sz w:val="24"/>
          <w:u w:val="single"/>
        </w:rPr>
        <w:t xml:space="preserve">（本合同首部载明）</w:t>
      </w:r>
      <w:r>
        <w:rPr>
          <w:rFonts w:ascii="SimSun" w:hAnsi="SimSun" w:eastAsia="SimSun" w:cs="SimSun"/>
          <w:color w:val="000000" w:themeColor="text1"/>
          <w:sz w:val="24"/>
        </w:rPr>
        <w:t xml:space="preserve">有变更，应在变更当日内书面通知对方，否则，应</w:t>
      </w:r>
      <w:r>
        <w:rPr>
          <w:rFonts w:ascii="SimSun" w:hAnsi="SimSun" w:eastAsia="SimSun" w:cs="SimSun"/>
          <w:color w:val="000000" w:themeColor="text1"/>
          <w:sz w:val="24"/>
          <w:u w:val="single"/>
        </w:rPr>
        <w:t xml:space="preserve">自行</w:t>
      </w:r>
      <w:r>
        <w:rPr>
          <w:rFonts w:ascii="SimSun" w:hAnsi="SimSun" w:eastAsia="SimSun" w:cs="SimSun"/>
          <w:color w:val="000000" w:themeColor="text1"/>
          <w:sz w:val="24"/>
        </w:rPr>
        <w:t xml:space="preserve">承担相应</w:t>
      </w:r>
      <w:r>
        <w:rPr>
          <w:rFonts w:ascii="SimSun" w:hAnsi="SimSun" w:eastAsia="SimSun" w:cs="SimSun"/>
          <w:color w:val="000000" w:themeColor="text1"/>
          <w:sz w:val="24"/>
          <w:u w:val="single"/>
        </w:rPr>
        <w:t xml:space="preserve">送达不能的</w:t>
      </w:r>
      <w:r>
        <w:rPr>
          <w:rFonts w:ascii="SimSun" w:hAnsi="SimSun" w:eastAsia="SimSun" w:cs="SimSun"/>
          <w:color w:val="000000" w:themeColor="text1"/>
          <w:sz w:val="24"/>
        </w:rPr>
        <w:t xml:space="preserve">责任。 </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十一、附则</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1、合同份数：本合同一式肆份，甲方、乙方各执壹份，政府采购监督管理部门壹份，采购代理机构壹一份。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2、本合同文件使用中文书写、解释和说明。</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3、本合同履行过程中产生的纪要、协议以及中标通知书、投标文件和招标文件为本合同的附件，与合同具有同等效力。</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4、本合同在甲乙双方法人代表或其授权代表签字盖章后生效。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5、未尽事宜</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本合同未尽事宜应按照《中华人民共和国民法典》之规定解释。</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（以下无正文）</w:t>
      </w:r>
      <w:r>
        <w:rPr>
          <w:color w:val="000000" w:themeColor="text1"/>
        </w:rPr>
      </w:r>
      <w:r/>
    </w:p>
    <w:p>
      <w:pPr>
        <w:ind w:left="420" w:right="0" w:firstLine="0"/>
        <w:jc w:val="both"/>
        <w:spacing w:before="260" w:after="120" w:line="85" w:lineRule="atLeast"/>
        <w:rPr>
          <w:color w:val="000000" w:themeColor="text1"/>
        </w:rPr>
        <w:pBdr>
          <w:top w:val="none" w:color="000000" w:sz="4" w:space="0"/>
          <w:left w:val="none" w:color="000000" w:sz="4" w:space="0"/>
          <w:bottom w:val="none" w:color="000000" w:sz="4" w:space="0"/>
          <w:right w:val="none" w:color="000000" w:sz="4" w:space="0"/>
        </w:pBdr>
      </w:pPr>
      <w:r>
        <w:rPr>
          <w:rFonts w:ascii="Times New Roman" w:hAnsi="Times New Roman" w:eastAsia="Times New Roman" w:cs="Times New Roman"/>
          <w:color w:val="000000" w:themeColor="text1"/>
          <w:sz w:val="26"/>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甲方签章：乙方签章：</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法定代表人或授权代理人：法定代表人或授权代理人：</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年月日年月日</w:t>
        <w:br w:type="page" w:clear="all"/>
      </w:r>
      <w:r>
        <w:rPr>
          <w:color w:val="000000" w:themeColor="text1"/>
        </w:rPr>
      </w:r>
      <w:r/>
    </w:p>
    <w:p>
      <w:pPr>
        <w:ind w:left="0" w:right="0" w:firstLine="0"/>
        <w:spacing w:before="0" w:after="0"/>
        <w:rPr>
          <w:color w:val="000000" w:themeColor="text1"/>
        </w:rPr>
        <w:pBdr>
          <w:top w:val="none" w:color="000000" w:sz="4" w:space="0"/>
          <w:left w:val="none" w:color="000000" w:sz="4" w:space="0"/>
          <w:bottom w:val="none" w:color="000000" w:sz="4" w:space="0"/>
          <w:right w:val="none" w:color="000000" w:sz="4" w:space="0"/>
        </w:pBdr>
      </w:pPr>
      <w:r>
        <w:rPr>
          <w:color w:val="000000" w:themeColor="text1"/>
        </w:rPr>
        <w:br w:type="page" w:clear="all"/>
      </w:r>
      <w:r>
        <w:rPr>
          <w:color w:val="000000" w:themeColor="text1"/>
        </w:rPr>
      </w:r>
      <w:r/>
    </w:p>
    <w:p>
      <w:pPr>
        <w:pStyle w:val="848"/>
        <w:ind w:left="420" w:right="0" w:firstLine="0"/>
        <w:jc w:val="center"/>
        <w:spacing w:before="340" w:after="33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30"/>
        </w:rPr>
        <w:t xml:space="preserve">安全生产协议书</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为规范和加强XXXX（下称“项目”）安全管理，防控生产安全事故，确保项目安全顺利实施，根据《中华人民共和国安全生产法》等规定，现由XXXXXX（下称“甲方”）与【</w:t>
      </w:r>
      <w:r>
        <w:rPr>
          <w:rFonts w:ascii="SimSun" w:hAnsi="SimSun" w:eastAsia="SimSun" w:cs="SimSun"/>
          <w:b/>
          <w:color w:val="000000" w:themeColor="text1"/>
          <w:sz w:val="24"/>
        </w:rPr>
        <w:t xml:space="preserve">**********</w:t>
      </w:r>
      <w:r>
        <w:rPr>
          <w:rFonts w:ascii="SimSun" w:hAnsi="SimSun" w:eastAsia="SimSun" w:cs="SimSun"/>
          <w:color w:val="000000" w:themeColor="text1"/>
          <w:sz w:val="24"/>
        </w:rPr>
        <w:t xml:space="preserve">】(下称“乙方”）签署安全生产协议书，明确甲、乙双方安全生产管理责任。</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一、责任人和责任范围</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乙方的企业法定代表人为承包项目安全生产管理第一责任人，乙方指定的项目负责人为承包项目安全生产管理的直接责任人，责任期间为开工至竣工验收完成之日。</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责任期间内乙方的企业法定代表人或项目负责人调整的，其继任者接替作为责任人，安全管理责任随责任人变动而转移。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乙方的安全管理责任范围，包括承包合同约定的乙方负责服务和负责管理的全部项目范围。</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u w:val="none"/>
        </w:rPr>
        <w:t xml:space="preserve">二、乙方的安全管理责任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1、按照承包合同约定，承担承包合同范围内安全生产全部管理责任。</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2、应制订和遵守符合国家和地方所有现行安全生产法律法规、标准规范要求的现场安全管理制度和甲方及其控股股东和实际控制人制定安全管理制度和标准。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3、安全生产管理应贯彻“安全第一，预防为主，综合治理”的方针，并根据项目生产的规模、性质、特点予以实施。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4、具备国家规定的注册资本、专业技术人员、技术装备和安全生产等条件，依法取得符合项目要求等级的承包资质，并保证责任期间内持续有效。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5、依法办理安全生产许可证（如需）。</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6、建立和健全安全生产组织体系，明确各管理层、职能部门和岗位的安全生产责任；应按照有关规定设立安全生产管理机构，足额配备专职安全生产管理人员。</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7、制定和健全满足项目安全生产需要的各类规章制度和操作规程。</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投入合理的安全管理资金，专项用于安全防护用具及设施的采购和更新、安全技术措施的落实、安全教育培训、劳动保护、安全生产条件的改善与应急救援等，以及必要的安全评价、监测、检测、论证等，不得挪作他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9、施工作业应做到（包括但不限于）：</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（1）特种作业人员按规定经过专门安全作业培训，并取得特种作业操作资格证书后方可上岗作业。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施工组织设计应编制安全技术措施和施工现场临时用电方案，对达到一定规模的危险性较大的分部分项工程，包括基坑支护、降水、土方开挖、模板、起重吊装、脚手架、拆除等，应当提前编制专项施工方案，附具安全验算结果，并组织专家论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（3）施工前技术人员向作业人员进行安全施工技术交底。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施工现场入口处、施工起重机械、临时用电设施、脚手架、出入通道口、楼梯口、电梯井口、孔洞口、桥梁口、隧道口、基坑边沿、爆破物及有害危险气体和液体存放处等危险部位，应按照国家标准设置明显的安全警示标志。</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（5）根据不同施工阶段和周围环境及季节、气候的变化，应在施工现场采取相应的安全施工措施；施工暂停期间，应当做好现场防护。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（6）服务现场的办公、生活区与作业区分开设置，并保持安全距离；办公、生活区的选址应当符合安全性要求。职工的膳食、饮水、休息场所等应当符合卫生标准。尚未竣工的建筑物内不得设置员工集体宿舍。</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（7）施工现场临时搭建的建筑物应当符合安全使用要求。施工现场使用的装配式活动房屋应当具有产品合格证。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（8）对施工可能造成损害的毗邻建筑物、构筑物和地下管线等，应采取专项防护措施。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（9）应对施工现场实行封闭围挡，并采取措施防止或者减少粉尘、废气、废水、固体废物、噪声、振动和施工照明对人和环境的危害和污染。</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施工现场应建立消防安全责任制度，确定消防安全责任人，制定用火、用电、使用易燃易爆材料等各项消防安全管理制度和操作规程，设置消防通道、消防水源，配备消防设施和灭火器材，并在施工现场入口处设置明显标志。</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11）应向作业人员提供安全防护用具和安全防护服装，并书面告知危险岗位的操作规程和违章操作的危害。安全防护用具、机械设备、施工机具及配件，应当具有生产（制造）许可证、产品合格证，并在进入施工现场前进行查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（12）施工起重机械和整体提升脚手架、模板等自升式架设设施应在验收合格后使用。</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（13）为施工人员办理意外伤害保险，保险期限自工程开工之日起至整体工程取得竣工备案证日或工程移交给业主使用日两者晚到者为止。</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（14）严格执行《建筑施工安全检查标准》（JGJ 59—99）、《建设工程施工现场消防安全技术规范》（GB 50900-2011）及《施工现场临时用电安全技术规范》(JGJ46—2005)等有关安全技术规范。</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（15）严格执行当地政府法规规定需要达到的相关标准。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10、进行定期和专项安全检查，建立完备的施工安全管理台账，及时整改消除生产安全事故隐患。乙方不能及时整改消除生产安全事故隐患，而被甲方检查出安全隐患，甲方将向乙方下发《整改通知书》，并根据安全隐患的不同等级对乙方进行不同程度的处罚。</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三、安全隐患判定规则：</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（一）安全隐患分为四级：1、特别重大安全隐患。2、重大安全隐患。3、较大安全隐患。4、一般安全隐患。</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（二）隐患升级原则：存在5 处一般安全隐患升级为较大安全隐患，5 处较大安全隐患升级为重大安全隐患，5 处重大安全隐患升级为特别重大安全隐患安全事故罚则：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施工期间发生安全事故，造成人员重伤、死亡，或直接经济损失大于50万元（含)，除由责任施工单位赔偿对甲方造成的损失之外，并对责任施工单位按损失额度的10%进行处罚，在当期工程款中扣除。</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12、乙方应避免火灾事故的出现，一旦出现火灾事故，根据火灾事故分类对分包商进行不同程度的处罚。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一）凡在火灾和火灾扑救过程中因烧、摔、砸、炸、窒息、中毒、触电、高温、辐射等原因所致的人员伤亡列入火灾伤亡范围。其中死亡以火灾发生后七天内死亡为限，伤残统计标准按劳动和社会保障部的有关规定认定。</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二）火灾财产损失分直接财产损失和间接财产损失两项统计。火灾直接财产损失是指被烧毁、烧损、烟熏和灭火中破拆、水渍以及因火灾引起的污染等所造成的损失。火灾间接财产损失是指因火灾而停工、停产、停业所造成的损失，以及现场施救、善后处理费用（包括清理火场、人身伤亡之后所支出医疗、丧葬、抚恤、补助救济、歇工工资等费用）。火灾直接财产损失和火灾间接财产损失的计算方法按公安部有关规定执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13、每季度至少对管理人员和作业人员进行1次综合安全生产教育培训，安全生产教育培训考核不合格的人员不得上岗。</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14、组织制定并实施项目建筑施工生产安全事故应急救援预案。</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15、接受并配合监理方及甲方安全检查，采取有效措施防止事故扩大，并及时、如实向监理方及甲方报告生产安全事故。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16、建立安全管理考核和奖惩细则。</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17、每半月向监理方提交检查记录，甲方抽查。</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四、安全管理控制指标</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1、杜绝因乙方原因导致的重大安全责任事故（指发生1人（含）以上死亡或责任事故直接经济损失100万元（含）以上的）；</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2、杜绝因乙方施工现场安全原因导致的现场整体停工7天（含）以上；</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3、控制现场发生人员重伤率0.5‰以内（以本承包工程全部现场施工作业人员为基数）；</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4、监理方、甲方或当地政府部门指出的施工安全隐患，限期整改完成率达到100 %；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5、乙方施工管理人员和现场作业人员的安全培训率达100%；</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6、预算安全管理资金投入率达100%；</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7、开工前投保完成现场施工人员的意外伤害保险。</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五、处罚措施</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1、责任期间发生突破第四条第1、2项控制指标情况的，甲方有权每次在当期的工程款中扣罚2万元人民币；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2、责任期间发生突破第四条第3、4项控制指标情况的，甲方有权每次在当期的工程款中扣罚1万元人民币；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3、责任期间发生突破第四条控制指标第5～7项情况的，甲方有权每次在当期的工程款中扣罚0.5万元人民币；</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4、责任期间发生任何安全生产事故，乙方应赔偿由此造成甲方的各项损失，甲方有权从当期工程款中扣除。</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六、其他事项</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1、乙方按照本责任书承担施工安全生产责任，不影响承包合同的履行。</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2、本责任书所产生的全部费用已经包含在合同价款内。</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3、本责任书经乙方盖章并由甲方加签后生效，本协议书是合同的组成部分。</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甲方（签章）： </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ab/>
        <w:t xml:space="preserve">      </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乙方（签章）：</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0" w:firstLine="482"/>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年月日</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5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5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5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52"/>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52"/>
        </w:rPr>
        <w:t xml:space="preserve"> </w:t>
      </w:r>
      <w:r>
        <w:rPr>
          <w:color w:val="000000" w:themeColor="text1"/>
        </w:rPr>
      </w:r>
      <w:r/>
    </w:p>
    <w:p>
      <w:pPr>
        <w:ind w:left="420" w:right="0" w:firstLine="0"/>
        <w:jc w:val="both"/>
        <w:spacing w:before="260" w:after="12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52"/>
        </w:rPr>
        <w:t xml:space="preserve"> </w:t>
      </w:r>
      <w:r>
        <w:rPr>
          <w:color w:val="000000" w:themeColor="text1"/>
        </w:rPr>
      </w:r>
      <w:r/>
    </w:p>
    <w:p>
      <w:pPr>
        <w:pStyle w:val="848"/>
        <w:ind w:left="0" w:right="0" w:firstLine="442"/>
        <w:jc w:val="center"/>
        <w:spacing w:before="340" w:after="330" w:line="1056"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44"/>
          <w:u w:val="none"/>
        </w:rPr>
        <w:t xml:space="preserve">第六章评</w:t>
      </w:r>
      <w:r>
        <w:rPr>
          <w:rFonts w:ascii="SimSun" w:hAnsi="SimSun" w:eastAsia="SimSun" w:cs="SimSun"/>
          <w:b/>
          <w:color w:val="000000" w:themeColor="text1"/>
          <w:sz w:val="44"/>
        </w:rPr>
        <w:t xml:space="preserve">审办法</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26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spacing w:before="240" w:after="240"/>
        <w:rPr>
          <w:rFonts w:ascii="SimSun" w:hAnsi="SimSun" w:eastAsia="SimSun" w:cs="SimSun"/>
          <w:color w:val="000000" w:themeColor="text1"/>
          <w:sz w:val="21"/>
          <w:szCs w:val="21"/>
          <w:highlight w:val="none"/>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1"/>
        </w:rPr>
        <w:t xml:space="preserve"> </w:t>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color w:val="000000" w:themeColor="text1"/>
        </w:rPr>
      </w:r>
      <w:r/>
    </w:p>
    <w:p>
      <w:pPr>
        <w:ind w:left="0" w:right="0" w:firstLine="0"/>
        <w:spacing w:before="240" w:after="240"/>
        <w:rPr>
          <w:color w:val="000000" w:themeColor="text1"/>
        </w:rPr>
        <w:pBdr>
          <w:top w:val="none" w:color="000000" w:sz="4" w:space="0"/>
          <w:left w:val="none" w:color="000000" w:sz="4" w:space="0"/>
          <w:bottom w:val="none" w:color="000000" w:sz="4" w:space="0"/>
          <w:right w:val="none" w:color="000000" w:sz="4" w:space="0"/>
        </w:pBdr>
      </w:pPr>
      <w:r>
        <w:rPr>
          <w:color w:val="000000" w:themeColor="text1"/>
        </w:rPr>
      </w:r>
      <w:r>
        <w:rPr>
          <w:rFonts w:ascii="SimSun" w:hAnsi="SimSun" w:eastAsia="SimSun" w:cs="SimSun"/>
          <w:color w:val="000000" w:themeColor="text1"/>
          <w:sz w:val="21"/>
          <w:highlight w:val="none"/>
        </w:rPr>
      </w:r>
      <w:r/>
    </w:p>
    <w:p>
      <w:pPr>
        <w:ind w:left="0" w:right="0" w:firstLine="0"/>
        <w:jc w:val="both"/>
        <w:spacing w:before="0" w:after="0"/>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一、评审方法：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1、评价和比较采用综合评分法，即指响应文件满足采购文件全部实质性要求，且按照评审因素的量化指标评审得分最高的前三名供应商为成交候选人的评审方法。</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2、评审小组各成员独立对每个进入打分程序的有效磋商供应商的响应文件技术和资质部分以打分的形式进行评审和评价。</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对评委的评分(除价格分外)进行统计汇总，直接算术平均，计算出每个磋商供应商的得分，加上价格得分即为每个磋商供应商的综合得分。评审结果按评审后得分由高到低顺序排列。得分相同的，按磋商报价由低到高顺序排列。得分且磋商报价相同的并列。响应文件满足采购文件全部实质性要求，且按照前述综合评审得分由高到低的排序选择前三名供应商作为成交候选人。如选取成交候选人时出现评审得分相同，且磋商报价也相同的并列情况的，则由采购人组织以抽签方式确定优先选取顺序。</w:t>
      </w:r>
      <w:r>
        <w:rPr>
          <w:color w:val="000000" w:themeColor="text1"/>
        </w:rPr>
      </w:r>
      <w:r/>
    </w:p>
    <w:p>
      <w:pPr>
        <w:ind w:left="0" w:right="0" w:firstLine="48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4、评审小组根据采购人的授权，按照成交候选人的顺序在成交候选人中直接确定成交供应商。</w:t>
      </w:r>
      <w:r>
        <w:rPr>
          <w:color w:val="000000" w:themeColor="text1"/>
        </w:rPr>
      </w:r>
      <w:r/>
    </w:p>
    <w:p>
      <w:pPr>
        <w:ind w:left="0" w:right="0" w:firstLine="0"/>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二、评分标准：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(一）价格分（20分）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第一步：投标报价低于或等于采购预算、最高限价和单价限价的，为有效投标报价；超采购预算或最高限价或单价限价为无效投标报价。无效投标报价的投标文件不进行评审，也不得标。</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第二步：在所有有效投标报价中满足招标文件要求，且评审价格最低的评审报价为评标基准价，其价格分为20分，其他投标单位的价格分按照下列公式计算（计算结果四舍五入保留两位小数）</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投标报价得分＝（评标基准价/投标报价）×20×100％</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（二）服务方案（56分）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1、服务方案比较（9分）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对项目的认识、方法路线、实施思路比较：理解最完整、最准确，方案、措施最可行得当、内容最全面的得9分；理解较完整、较准确，方案、措施较可行得当、内容较全面得5分；理解不够完整、准确，方案、措施不够可行得当、内容不够全面的得3分，不提供不得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2、人员配置及机械设备配备（9分）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人员配置及机械设备配置的契合性和合理性，包括作业流程、作业地段人员配置及机械设备配置数量及品种、专业、从业经验等（需详细制表）,合法规范用工、安全生产章程、项目管理机构的设立和管理团队的经验:方案完整、契合、合理、全面的得9分；方案较完整、符合、较合理得5分；方案基本合理得3分，不提供不得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3、运输管理方案（9分）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车辆的安全信息管理，包括车辆途中的实时与定位、单据的确认与签订、车辆装卸的安全注意事项、驾驶员定期安全培训（路线的合理安排、交接人员的信息对接、紧急情况的处理）:方案完整、契合、合理、全面的得9分；方案较完整、符合、较合理、得5分；方案基本合理得3分，不提供不得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4、应急措施（10分）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法定节假日、交通安全事故、各类恶劣灾害性天气及突发事件的运输应急预案(应急人员备案、培训、演练):措施完整、契合、合理、全面的得10分；措施较完整、符合、较合理得6分；措施基本合理得2分，不提供不得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5、安全文明作业（10分）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规范用工及安全文明作业、运输的保障措施:措施完整、契合、合理、全面的得10分；措施较完整、符合、较合理得6分；措施基本合理得2分，不提供不得分。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6、质量承诺、风险承诺（9分）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各项承诺，包括质量承诺、对发生各类安全事故善后处理承诺、依法规范用工承诺及应对履约期内各类风险承诺:承诺完整、契合、合理、全面的得9分；承诺较完整、符合、较合理得5分；承诺不够完整、基本合理得3分，不提供不得分。</w:t>
      </w:r>
      <w:r>
        <w:rPr>
          <w:color w:val="000000" w:themeColor="text1"/>
        </w:rPr>
      </w:r>
      <w:r/>
    </w:p>
    <w:p>
      <w:pPr>
        <w:ind w:left="0" w:right="0" w:firstLine="0"/>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（三）企业综合实力（24）</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1、具有有效期内质量管理体系认证、环境管理体系认证、职业健康安全管理体系认证证书的，每有一个得3分。本项最高得9分。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注：响应文件中提供上述证书复印件及该证书在中国国家认证认可监督管理委员会网站 http://www.cnca.gov.cn/上查询的页面截图，未按上述要求提供资料的不得分。</w:t>
      </w:r>
      <w:r>
        <w:rPr>
          <w:color w:val="000000" w:themeColor="text1"/>
        </w:rPr>
      </w:r>
      <w:r/>
    </w:p>
    <w:p>
      <w:pPr>
        <w:ind w:left="0" w:right="0" w:firstLine="720"/>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2、响应单位提供2023年1月1日以来（以合同签订日期为准）承担的类似项目业绩，每提供一份得3分，最高得15分。（提供业绩合同扫描件）</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6"/>
        </w:rPr>
        <w:t xml:space="preserve">                                 </w:t>
      </w:r>
      <w:r>
        <w:rPr>
          <w:color w:val="000000" w:themeColor="text1"/>
        </w:rPr>
      </w:r>
      <w:r/>
    </w:p>
    <w:p>
      <w:pPr>
        <w:ind w:left="0" w:right="0" w:firstLine="482"/>
        <w:jc w:val="both"/>
        <w:spacing w:before="0" w:after="0" w:line="460"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注：</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1、以上评分标准中的得分要素，均须由磋商供应商在响应文件中提供相应的证明资料，否则视为其不具备该条得分条件。</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2、报价超过采购预算或最高限价的将不进入综合评审程序，也不得标。</w:t>
      </w:r>
      <w:r>
        <w:rPr>
          <w:color w:val="000000" w:themeColor="text1"/>
        </w:rPr>
      </w:r>
      <w:r/>
    </w:p>
    <w:p>
      <w:pPr>
        <w:ind w:left="0" w:right="0" w:firstLine="482"/>
        <w:jc w:val="both"/>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3、付款方式、服务期如有负偏离的不得成交。</w:t>
      </w:r>
      <w:r>
        <w:rPr>
          <w:color w:val="000000" w:themeColor="text1"/>
        </w:rPr>
      </w:r>
      <w:r/>
    </w:p>
    <w:p>
      <w:pPr>
        <w:ind w:left="502"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b/>
          <w:color w:val="000000" w:themeColor="text1"/>
          <w:sz w:val="24"/>
        </w:rPr>
        <w:t xml:space="preserve">4、所有扫描件必须字迹清晰可见，字迹不清晰不得分。扫描件：指原件或者复印件的复制件，包括扫描、照片等。</w:t>
      </w:r>
      <w:r>
        <w:rPr>
          <w:color w:val="000000" w:themeColor="text1"/>
        </w:rPr>
      </w:r>
      <w:r/>
    </w:p>
    <w:p>
      <w:pPr>
        <w:ind w:left="0" w:right="0" w:firstLine="0"/>
        <w:spacing w:before="240" w:after="24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 </w:t>
      </w:r>
      <w:r>
        <w:rPr>
          <w:color w:val="000000" w:themeColor="text1"/>
        </w:rPr>
      </w:r>
      <w:r/>
    </w:p>
    <w:p>
      <w:pPr>
        <w:ind w:left="0" w:right="960" w:firstLine="0"/>
        <w:jc w:val="right"/>
        <w:spacing w:before="0" w:after="0" w:line="85" w:lineRule="atLeast"/>
        <w:rPr>
          <w:color w:val="000000" w:themeColor="text1"/>
        </w:rPr>
        <w:pBdr>
          <w:top w:val="none" w:color="000000" w:sz="4" w:space="0"/>
          <w:left w:val="none" w:color="000000" w:sz="4" w:space="0"/>
          <w:bottom w:val="none" w:color="000000" w:sz="4" w:space="0"/>
          <w:right w:val="none" w:color="000000" w:sz="4" w:space="0"/>
        </w:pBdr>
      </w:pPr>
      <w:r>
        <w:rPr>
          <w:rFonts w:ascii="SimSun" w:hAnsi="SimSun" w:eastAsia="SimSun" w:cs="SimSun"/>
          <w:color w:val="000000" w:themeColor="text1"/>
          <w:sz w:val="24"/>
        </w:rPr>
        <w:t xml:space="preserve">（全文完）</w:t>
      </w:r>
      <w:r>
        <w:rPr>
          <w:color w:val="000000" w:themeColor="text1"/>
        </w:rPr>
      </w:r>
      <w:r/>
    </w:p>
    <w:p>
      <w:pPr>
        <w:rPr>
          <w:color w:val="000000" w:themeColor="text1"/>
        </w:rPr>
      </w:pPr>
      <w:r>
        <w:rPr>
          <w:color w:val="000000" w:themeColor="text1"/>
        </w:rPr>
      </w:r>
      <w:r>
        <w:rPr>
          <w:color w:val="000000" w:themeColor="text1"/>
        </w:rPr>
      </w:r>
      <w:r/>
    </w:p>
    <w:sectPr>
      <w:headerReference w:type="default" r:id="rId9"/>
      <w:footerReference w:type="default" r:id="rId10"/>
      <w:footnotePr/>
      <w:endnotePr/>
      <w:type w:val="nextPage"/>
      <w:pgSz w:w="11906" w:h="16838" w:orient="portrait"/>
      <w:pgMar w:top="1417" w:right="1417" w:bottom="1417" w:left="1417" w:header="851" w:footer="992" w:gutter="0"/>
      <w:cols w:num="1" w:sep="0" w:space="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Symbol">
    <w:panose1 w:val="05050102010706020507"/>
  </w:font>
  <w:font w:name="Wingdings">
    <w:panose1 w:val="05000000000000000000"/>
  </w:font>
  <w:font w:name="Tahoma">
    <w:panose1 w:val="020B0604030504040204"/>
  </w:font>
  <w:font w:name="宋体糭.飬..">
    <w:panose1 w:val="02010600030101010101"/>
  </w:font>
  <w:font w:name="ヒラギノ角ゴ Pro W3">
    <w:panose1 w:val="020B0503020202020204"/>
  </w:font>
  <w:font w:name="Calibri">
    <w:panose1 w:val="020F0502020204030204"/>
  </w:font>
  <w:font w:name="微软雅黑">
    <w:panose1 w:val="020B0503020204020204"/>
  </w:font>
  <w:font w:name="方正大黑简体">
    <w:panose1 w:val="020B0503020202020204"/>
  </w:font>
  <w:font w:name="Cambria">
    <w:panose1 w:val="02040503050406030204"/>
  </w:font>
  <w:font w:name="Adobe 宋体 Std L">
    <w:panose1 w:val="020B0503020202020204"/>
  </w:font>
  <w:font w:name="Courier New">
    <w:panose1 w:val="02070309020205020404"/>
  </w:font>
  <w:font w:name="仿宋_GB2312">
    <w:panose1 w:val="020106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26975725"/>
      <w:rPr/>
    </w:sdtPr>
    <w:sdtContent>
      <w:p>
        <w:pPr>
          <w:pStyle w:val="868"/>
          <w:ind w:firstLine="180"/>
          <w:jc w:val="center"/>
        </w:pPr>
        <w:r>
          <w:fldChar w:fldCharType="begin"/>
        </w:r>
        <w:r>
          <w:instrText xml:space="preserve"> PAGE   \* MERGEFORMAT </w:instrText>
        </w:r>
        <w:r>
          <w:fldChar w:fldCharType="separate"/>
        </w:r>
        <w:r>
          <w:rPr>
            <w:lang w:val="zh-CN"/>
          </w:rPr>
          <w:t xml:space="preserve">57</w:t>
        </w:r>
        <w:r>
          <w:rPr>
            <w:lang w:val="zh-CN"/>
          </w:rPr>
          <w:fldChar w:fldCharType="end"/>
        </w:r>
        <w:r/>
      </w:p>
    </w:sdtContent>
  </w:sdt>
  <w:p>
    <w:pPr>
      <w:ind w:firstLine="2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spacing w:line="14" w:lineRule="auto"/>
      <w:rPr>
        <w:sz w:val="2"/>
      </w:rPr>
    </w:pPr>
    <w:r>
      <w:rPr>
        <w:sz w:val="2"/>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bullet"/>
      <w:pStyle w:val="857"/>
      <w:isLgl w:val="false"/>
      <w:suff w:val="tab"/>
      <w:lvlText w:val=""/>
      <w:lvlJc w:val="left"/>
      <w:pPr>
        <w:ind w:left="360" w:hanging="360"/>
        <w:tabs>
          <w:tab w:val="left" w:pos="36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3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tab"/>
      <w:lvlText w:val="%1."/>
      <w:lvlJc w:val="left"/>
      <w:pPr>
        <w:tabs>
          <w:tab w:val="left" w:pos="312" w:leader="none"/>
        </w:tabs>
      </w:pPr>
      <w:rPr>
        <w:rFonts w:hint="default"/>
        <w:b w:val="0"/>
        <w:bCs w:val="0"/>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33"/>
      <w:numFmt w:val="decimal"/>
      <w:isLgl w:val="false"/>
      <w:suff w:val="tab"/>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2"/>
  </w:num>
  <w:num w:numId="3">
    <w:abstractNumId w:val="1"/>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82">
    <w:name w:val="Heading 1 Char"/>
    <w:basedOn w:val="853"/>
    <w:link w:val="848"/>
    <w:uiPriority w:val="9"/>
    <w:rPr>
      <w:rFonts w:ascii="Arial" w:hAnsi="Arial" w:eastAsia="Arial" w:cs="Arial"/>
      <w:sz w:val="40"/>
      <w:szCs w:val="40"/>
    </w:rPr>
  </w:style>
  <w:style w:type="character" w:styleId="683">
    <w:name w:val="Heading 2 Char"/>
    <w:basedOn w:val="853"/>
    <w:link w:val="849"/>
    <w:uiPriority w:val="9"/>
    <w:rPr>
      <w:rFonts w:ascii="Arial" w:hAnsi="Arial" w:eastAsia="Arial" w:cs="Arial"/>
      <w:sz w:val="34"/>
    </w:rPr>
  </w:style>
  <w:style w:type="character" w:styleId="684">
    <w:name w:val="Heading 3 Char"/>
    <w:basedOn w:val="853"/>
    <w:link w:val="850"/>
    <w:uiPriority w:val="9"/>
    <w:rPr>
      <w:rFonts w:ascii="Arial" w:hAnsi="Arial" w:eastAsia="Arial" w:cs="Arial"/>
      <w:sz w:val="30"/>
      <w:szCs w:val="30"/>
    </w:rPr>
  </w:style>
  <w:style w:type="character" w:styleId="685">
    <w:name w:val="Heading 4 Char"/>
    <w:basedOn w:val="853"/>
    <w:link w:val="851"/>
    <w:uiPriority w:val="9"/>
    <w:rPr>
      <w:rFonts w:ascii="Arial" w:hAnsi="Arial" w:eastAsia="Arial" w:cs="Arial"/>
      <w:b/>
      <w:bCs/>
      <w:sz w:val="26"/>
      <w:szCs w:val="26"/>
    </w:rPr>
  </w:style>
  <w:style w:type="character" w:styleId="686">
    <w:name w:val="Heading 5 Char"/>
    <w:basedOn w:val="853"/>
    <w:link w:val="852"/>
    <w:uiPriority w:val="9"/>
    <w:rPr>
      <w:rFonts w:ascii="Arial" w:hAnsi="Arial" w:eastAsia="Arial" w:cs="Arial"/>
      <w:b/>
      <w:bCs/>
      <w:sz w:val="24"/>
      <w:szCs w:val="24"/>
    </w:rPr>
  </w:style>
  <w:style w:type="paragraph" w:styleId="687">
    <w:name w:val="Heading 6"/>
    <w:basedOn w:val="847"/>
    <w:next w:val="847"/>
    <w:link w:val="688"/>
    <w:uiPriority w:val="9"/>
    <w:unhideWhenUsed/>
    <w:qFormat/>
    <w:pPr>
      <w:keepLines/>
      <w:keepNext/>
      <w:spacing w:before="320" w:after="200"/>
      <w:outlineLvl w:val="5"/>
    </w:pPr>
    <w:rPr>
      <w:rFonts w:ascii="Arial" w:hAnsi="Arial" w:eastAsia="Arial" w:cs="Arial"/>
      <w:b/>
      <w:bCs/>
      <w:sz w:val="22"/>
      <w:szCs w:val="22"/>
    </w:rPr>
  </w:style>
  <w:style w:type="character" w:styleId="688">
    <w:name w:val="Heading 6 Char"/>
    <w:basedOn w:val="853"/>
    <w:link w:val="687"/>
    <w:uiPriority w:val="9"/>
    <w:rPr>
      <w:rFonts w:ascii="Arial" w:hAnsi="Arial" w:eastAsia="Arial" w:cs="Arial"/>
      <w:b/>
      <w:bCs/>
      <w:sz w:val="22"/>
      <w:szCs w:val="22"/>
    </w:rPr>
  </w:style>
  <w:style w:type="paragraph" w:styleId="689">
    <w:name w:val="Heading 7"/>
    <w:basedOn w:val="847"/>
    <w:next w:val="847"/>
    <w:link w:val="690"/>
    <w:uiPriority w:val="9"/>
    <w:unhideWhenUsed/>
    <w:qFormat/>
    <w:pPr>
      <w:keepLines/>
      <w:keepNext/>
      <w:spacing w:before="320" w:after="200"/>
      <w:outlineLvl w:val="6"/>
    </w:pPr>
    <w:rPr>
      <w:rFonts w:ascii="Arial" w:hAnsi="Arial" w:eastAsia="Arial" w:cs="Arial"/>
      <w:b/>
      <w:bCs/>
      <w:i/>
      <w:iCs/>
      <w:sz w:val="22"/>
      <w:szCs w:val="22"/>
    </w:rPr>
  </w:style>
  <w:style w:type="character" w:styleId="690">
    <w:name w:val="Heading 7 Char"/>
    <w:basedOn w:val="853"/>
    <w:link w:val="689"/>
    <w:uiPriority w:val="9"/>
    <w:rPr>
      <w:rFonts w:ascii="Arial" w:hAnsi="Arial" w:eastAsia="Arial" w:cs="Arial"/>
      <w:b/>
      <w:bCs/>
      <w:i/>
      <w:iCs/>
      <w:sz w:val="22"/>
      <w:szCs w:val="22"/>
    </w:rPr>
  </w:style>
  <w:style w:type="paragraph" w:styleId="691">
    <w:name w:val="Heading 8"/>
    <w:basedOn w:val="847"/>
    <w:next w:val="847"/>
    <w:link w:val="692"/>
    <w:uiPriority w:val="9"/>
    <w:unhideWhenUsed/>
    <w:qFormat/>
    <w:pPr>
      <w:keepLines/>
      <w:keepNext/>
      <w:spacing w:before="320" w:after="200"/>
      <w:outlineLvl w:val="7"/>
    </w:pPr>
    <w:rPr>
      <w:rFonts w:ascii="Arial" w:hAnsi="Arial" w:eastAsia="Arial" w:cs="Arial"/>
      <w:i/>
      <w:iCs/>
      <w:sz w:val="22"/>
      <w:szCs w:val="22"/>
    </w:rPr>
  </w:style>
  <w:style w:type="character" w:styleId="692">
    <w:name w:val="Heading 8 Char"/>
    <w:basedOn w:val="853"/>
    <w:link w:val="691"/>
    <w:uiPriority w:val="9"/>
    <w:rPr>
      <w:rFonts w:ascii="Arial" w:hAnsi="Arial" w:eastAsia="Arial" w:cs="Arial"/>
      <w:i/>
      <w:iCs/>
      <w:sz w:val="22"/>
      <w:szCs w:val="22"/>
    </w:rPr>
  </w:style>
  <w:style w:type="paragraph" w:styleId="693">
    <w:name w:val="Heading 9"/>
    <w:basedOn w:val="847"/>
    <w:next w:val="847"/>
    <w:link w:val="694"/>
    <w:uiPriority w:val="9"/>
    <w:unhideWhenUsed/>
    <w:qFormat/>
    <w:pPr>
      <w:keepLines/>
      <w:keepNext/>
      <w:spacing w:before="320" w:after="200"/>
      <w:outlineLvl w:val="8"/>
    </w:pPr>
    <w:rPr>
      <w:rFonts w:ascii="Arial" w:hAnsi="Arial" w:eastAsia="Arial" w:cs="Arial"/>
      <w:i/>
      <w:iCs/>
      <w:sz w:val="21"/>
      <w:szCs w:val="21"/>
    </w:rPr>
  </w:style>
  <w:style w:type="character" w:styleId="694">
    <w:name w:val="Heading 9 Char"/>
    <w:basedOn w:val="853"/>
    <w:link w:val="693"/>
    <w:uiPriority w:val="9"/>
    <w:rPr>
      <w:rFonts w:ascii="Arial" w:hAnsi="Arial" w:eastAsia="Arial" w:cs="Arial"/>
      <w:i/>
      <w:iCs/>
      <w:sz w:val="21"/>
      <w:szCs w:val="21"/>
    </w:rPr>
  </w:style>
  <w:style w:type="paragraph" w:styleId="695">
    <w:name w:val="Title"/>
    <w:basedOn w:val="847"/>
    <w:next w:val="847"/>
    <w:link w:val="696"/>
    <w:uiPriority w:val="10"/>
    <w:qFormat/>
    <w:pPr>
      <w:contextualSpacing/>
      <w:spacing w:before="300" w:after="200"/>
    </w:pPr>
    <w:rPr>
      <w:sz w:val="48"/>
      <w:szCs w:val="48"/>
    </w:rPr>
  </w:style>
  <w:style w:type="character" w:styleId="696">
    <w:name w:val="Title Char"/>
    <w:basedOn w:val="853"/>
    <w:link w:val="695"/>
    <w:uiPriority w:val="10"/>
    <w:rPr>
      <w:sz w:val="48"/>
      <w:szCs w:val="48"/>
    </w:rPr>
  </w:style>
  <w:style w:type="character" w:styleId="697">
    <w:name w:val="Subtitle Char"/>
    <w:basedOn w:val="853"/>
    <w:link w:val="872"/>
    <w:uiPriority w:val="11"/>
    <w:rPr>
      <w:sz w:val="24"/>
      <w:szCs w:val="24"/>
    </w:rPr>
  </w:style>
  <w:style w:type="paragraph" w:styleId="698">
    <w:name w:val="Quote"/>
    <w:basedOn w:val="847"/>
    <w:next w:val="847"/>
    <w:link w:val="699"/>
    <w:uiPriority w:val="29"/>
    <w:qFormat/>
    <w:pPr>
      <w:ind w:left="720" w:right="720"/>
    </w:pPr>
    <w:rPr>
      <w:i/>
    </w:rPr>
  </w:style>
  <w:style w:type="character" w:styleId="699">
    <w:name w:val="Quote Char"/>
    <w:link w:val="698"/>
    <w:uiPriority w:val="29"/>
    <w:rPr>
      <w:i/>
    </w:rPr>
  </w:style>
  <w:style w:type="paragraph" w:styleId="700">
    <w:name w:val="Intense Quote"/>
    <w:basedOn w:val="847"/>
    <w:next w:val="847"/>
    <w:link w:val="70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01">
    <w:name w:val="Intense Quote Char"/>
    <w:link w:val="700"/>
    <w:uiPriority w:val="30"/>
    <w:rPr>
      <w:i/>
    </w:rPr>
  </w:style>
  <w:style w:type="character" w:styleId="702">
    <w:name w:val="Header Char"/>
    <w:basedOn w:val="853"/>
    <w:link w:val="870"/>
    <w:uiPriority w:val="99"/>
  </w:style>
  <w:style w:type="character" w:styleId="703">
    <w:name w:val="Footer Char"/>
    <w:basedOn w:val="853"/>
    <w:link w:val="868"/>
    <w:uiPriority w:val="99"/>
  </w:style>
  <w:style w:type="paragraph" w:styleId="704">
    <w:name w:val="Caption"/>
    <w:basedOn w:val="847"/>
    <w:next w:val="847"/>
    <w:uiPriority w:val="35"/>
    <w:semiHidden/>
    <w:unhideWhenUsed/>
    <w:qFormat/>
    <w:pPr>
      <w:spacing w:line="276" w:lineRule="auto"/>
    </w:pPr>
    <w:rPr>
      <w:b/>
      <w:bCs/>
      <w:color w:val="4f81bd" w:themeColor="accent1"/>
      <w:sz w:val="18"/>
      <w:szCs w:val="18"/>
    </w:rPr>
  </w:style>
  <w:style w:type="character" w:styleId="705">
    <w:name w:val="Caption Char"/>
    <w:basedOn w:val="704"/>
    <w:link w:val="868"/>
    <w:uiPriority w:val="99"/>
  </w:style>
  <w:style w:type="table" w:styleId="706">
    <w:name w:val="Table Grid Light"/>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07">
    <w:name w:val="Plain Table 1"/>
    <w:basedOn w:val="854"/>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08">
    <w:name w:val="Plain Table 2"/>
    <w:basedOn w:val="854"/>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09">
    <w:name w:val="Plain Table 3"/>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10">
    <w:name w:val="Plain Table 4"/>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11">
    <w:name w:val="Plain Table 5"/>
    <w:basedOn w:val="85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12">
    <w:name w:val="Grid Table 1 Light"/>
    <w:basedOn w:val="854"/>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13">
    <w:name w:val="Grid Table 1 Light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14">
    <w:name w:val="Grid Table 1 Light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15">
    <w:name w:val="Grid Table 1 Light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16">
    <w:name w:val="Grid Table 1 Light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17">
    <w:name w:val="Grid Table 1 Light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18">
    <w:name w:val="Grid Table 1 Light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19">
    <w:name w:val="Grid Table 2"/>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20">
    <w:name w:val="Grid Table 2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21">
    <w:name w:val="Grid Table 2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22">
    <w:name w:val="Grid Table 2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23">
    <w:name w:val="Grid Table 2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24">
    <w:name w:val="Grid Table 2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25">
    <w:name w:val="Grid Table 2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26">
    <w:name w:val="Grid Table 3"/>
    <w:basedOn w:val="854"/>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7">
    <w:name w:val="Grid Table 3 - Accent 1"/>
    <w:basedOn w:val="854"/>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8">
    <w:name w:val="Grid Table 3 - Accent 2"/>
    <w:basedOn w:val="854"/>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9">
    <w:name w:val="Grid Table 3 - Accent 3"/>
    <w:basedOn w:val="854"/>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0">
    <w:name w:val="Grid Table 3 - Accent 4"/>
    <w:basedOn w:val="85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1">
    <w:name w:val="Grid Table 3 - Accent 5"/>
    <w:basedOn w:val="854"/>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2">
    <w:name w:val="Grid Table 3 - Accent 6"/>
    <w:basedOn w:val="854"/>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3">
    <w:name w:val="Grid Table 4"/>
    <w:basedOn w:val="85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34">
    <w:name w:val="Grid Table 4 - Accent 1"/>
    <w:basedOn w:val="854"/>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35">
    <w:name w:val="Grid Table 4 - Accent 2"/>
    <w:basedOn w:val="854"/>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36">
    <w:name w:val="Grid Table 4 - Accent 3"/>
    <w:basedOn w:val="854"/>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37">
    <w:name w:val="Grid Table 4 - Accent 4"/>
    <w:basedOn w:val="85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38">
    <w:name w:val="Grid Table 4 - Accent 5"/>
    <w:basedOn w:val="854"/>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39">
    <w:name w:val="Grid Table 4 - Accent 6"/>
    <w:basedOn w:val="854"/>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40">
    <w:name w:val="Grid Table 5 Dark"/>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41">
    <w:name w:val="Grid Table 5 Dark- Accent 1"/>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42">
    <w:name w:val="Grid Table 5 Dark - Accent 2"/>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43">
    <w:name w:val="Grid Table 5 Dark - Accent 3"/>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44">
    <w:name w:val="Grid Table 5 Dark- Accent 4"/>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45">
    <w:name w:val="Grid Table 5 Dark - Accent 5"/>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46">
    <w:name w:val="Grid Table 5 Dark - Accent 6"/>
    <w:basedOn w:val="85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47">
    <w:name w:val="Grid Table 6 Colorful"/>
    <w:basedOn w:val="854"/>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48">
    <w:name w:val="Grid Table 6 Colorful - Accent 1"/>
    <w:basedOn w:val="854"/>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49">
    <w:name w:val="Grid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50">
    <w:name w:val="Grid Table 6 Colorful - Accent 3"/>
    <w:basedOn w:val="854"/>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51">
    <w:name w:val="Grid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52">
    <w:name w:val="Grid Table 6 Colorful - Accent 5"/>
    <w:basedOn w:val="854"/>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3">
    <w:name w:val="Grid Table 6 Colorful - Accent 6"/>
    <w:basedOn w:val="854"/>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54">
    <w:name w:val="Grid Table 7 Colorful"/>
    <w:basedOn w:val="854"/>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55">
    <w:name w:val="Grid Table 7 Colorful - Accent 1"/>
    <w:basedOn w:val="854"/>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56">
    <w:name w:val="Grid Table 7 Colorful - Accent 2"/>
    <w:basedOn w:val="854"/>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57">
    <w:name w:val="Grid Table 7 Colorful - Accent 3"/>
    <w:basedOn w:val="854"/>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58">
    <w:name w:val="Grid Table 7 Colorful - Accent 4"/>
    <w:basedOn w:val="85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59">
    <w:name w:val="Grid Table 7 Colorful - Accent 5"/>
    <w:basedOn w:val="854"/>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60">
    <w:name w:val="Grid Table 7 Colorful - Accent 6"/>
    <w:basedOn w:val="854"/>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61">
    <w:name w:val="List Table 1 Light"/>
    <w:basedOn w:val="854"/>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62">
    <w:name w:val="List Table 1 Light - Accent 1"/>
    <w:basedOn w:val="854"/>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63">
    <w:name w:val="List Table 1 Light - Accent 2"/>
    <w:basedOn w:val="854"/>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64">
    <w:name w:val="List Table 1 Light - Accent 3"/>
    <w:basedOn w:val="854"/>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65">
    <w:name w:val="List Table 1 Light - Accent 4"/>
    <w:basedOn w:val="85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766">
    <w:name w:val="List Table 1 Light - Accent 5"/>
    <w:basedOn w:val="854"/>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767">
    <w:name w:val="List Table 1 Light - Accent 6"/>
    <w:basedOn w:val="854"/>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768">
    <w:name w:val="List Table 2"/>
    <w:basedOn w:val="854"/>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769">
    <w:name w:val="List Table 2 - Accent 1"/>
    <w:basedOn w:val="854"/>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770">
    <w:name w:val="List Table 2 - Accent 2"/>
    <w:basedOn w:val="854"/>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771">
    <w:name w:val="List Table 2 - Accent 3"/>
    <w:basedOn w:val="854"/>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772">
    <w:name w:val="List Table 2 - Accent 4"/>
    <w:basedOn w:val="85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773">
    <w:name w:val="List Table 2 - Accent 5"/>
    <w:basedOn w:val="854"/>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774">
    <w:name w:val="List Table 2 - Accent 6"/>
    <w:basedOn w:val="854"/>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775">
    <w:name w:val="List Table 3"/>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76">
    <w:name w:val="List Table 3 - Accent 1"/>
    <w:basedOn w:val="854"/>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77">
    <w:name w:val="List Table 3 - Accent 2"/>
    <w:basedOn w:val="854"/>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778">
    <w:name w:val="List Table 3 - Accent 3"/>
    <w:basedOn w:val="854"/>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779">
    <w:name w:val="List Table 3 - Accent 4"/>
    <w:basedOn w:val="85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780">
    <w:name w:val="List Table 3 - Accent 5"/>
    <w:basedOn w:val="854"/>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781">
    <w:name w:val="List Table 3 - Accent 6"/>
    <w:basedOn w:val="854"/>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782">
    <w:name w:val="List Table 4"/>
    <w:basedOn w:val="85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783">
    <w:name w:val="List Table 4 - Accent 1"/>
    <w:basedOn w:val="854"/>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784">
    <w:name w:val="List Table 4 - Accent 2"/>
    <w:basedOn w:val="854"/>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785">
    <w:name w:val="List Table 4 - Accent 3"/>
    <w:basedOn w:val="854"/>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786">
    <w:name w:val="List Table 4 - Accent 4"/>
    <w:basedOn w:val="85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787">
    <w:name w:val="List Table 4 - Accent 5"/>
    <w:basedOn w:val="854"/>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788">
    <w:name w:val="List Table 4 - Accent 6"/>
    <w:basedOn w:val="854"/>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789">
    <w:name w:val="List Table 5 Dark"/>
    <w:basedOn w:val="854"/>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0">
    <w:name w:val="List Table 5 Dark - Accent 1"/>
    <w:basedOn w:val="854"/>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1">
    <w:name w:val="List Table 5 Dark - Accent 2"/>
    <w:basedOn w:val="854"/>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2">
    <w:name w:val="List Table 5 Dark - Accent 3"/>
    <w:basedOn w:val="854"/>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3">
    <w:name w:val="List Table 5 Dark - Accent 4"/>
    <w:basedOn w:val="85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4">
    <w:name w:val="List Table 5 Dark - Accent 5"/>
    <w:basedOn w:val="854"/>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5">
    <w:name w:val="List Table 5 Dark - Accent 6"/>
    <w:basedOn w:val="854"/>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796">
    <w:name w:val="List Table 6 Colorful"/>
    <w:basedOn w:val="854"/>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797">
    <w:name w:val="List Table 6 Colorful - Accent 1"/>
    <w:basedOn w:val="854"/>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798">
    <w:name w:val="List Table 6 Colorful - Accent 2"/>
    <w:basedOn w:val="854"/>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799">
    <w:name w:val="List Table 6 Colorful - Accent 3"/>
    <w:basedOn w:val="854"/>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00">
    <w:name w:val="List Table 6 Colorful - Accent 4"/>
    <w:basedOn w:val="85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01">
    <w:name w:val="List Table 6 Colorful - Accent 5"/>
    <w:basedOn w:val="854"/>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02">
    <w:name w:val="List Table 6 Colorful - Accent 6"/>
    <w:basedOn w:val="854"/>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03">
    <w:name w:val="List Table 7 Colorful"/>
    <w:basedOn w:val="854"/>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04">
    <w:name w:val="List Table 7 Colorful - Accent 1"/>
    <w:basedOn w:val="854"/>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05">
    <w:name w:val="List Table 7 Colorful - Accent 2"/>
    <w:basedOn w:val="854"/>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06">
    <w:name w:val="List Table 7 Colorful - Accent 3"/>
    <w:basedOn w:val="854"/>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07">
    <w:name w:val="List Table 7 Colorful - Accent 4"/>
    <w:basedOn w:val="85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08">
    <w:name w:val="List Table 7 Colorful - Accent 5"/>
    <w:basedOn w:val="854"/>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09">
    <w:name w:val="List Table 7 Colorful - Accent 6"/>
    <w:basedOn w:val="854"/>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10">
    <w:name w:val="Lined - Accent"/>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1">
    <w:name w:val="Lined - Accent 1"/>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2">
    <w:name w:val="Lined - Accent 2"/>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13">
    <w:name w:val="Lined - Accent 3"/>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14">
    <w:name w:val="Lined - Accent 4"/>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15">
    <w:name w:val="Lined - Accent 5"/>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16">
    <w:name w:val="Lined - Accent 6"/>
    <w:basedOn w:val="85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17">
    <w:name w:val="Bordered &amp; Lined - Accent"/>
    <w:basedOn w:val="854"/>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18">
    <w:name w:val="Bordered &amp; Lined - Accent 1"/>
    <w:basedOn w:val="854"/>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19">
    <w:name w:val="Bordered &amp; Lined - Accent 2"/>
    <w:basedOn w:val="854"/>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20">
    <w:name w:val="Bordered &amp; Lined - Accent 3"/>
    <w:basedOn w:val="854"/>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21">
    <w:name w:val="Bordered &amp; Lined - Accent 4"/>
    <w:basedOn w:val="85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22">
    <w:name w:val="Bordered &amp; Lined - Accent 5"/>
    <w:basedOn w:val="854"/>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23">
    <w:name w:val="Bordered &amp; Lined - Accent 6"/>
    <w:basedOn w:val="854"/>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24">
    <w:name w:val="Bordered"/>
    <w:basedOn w:val="854"/>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25">
    <w:name w:val="Bordered - Accent 1"/>
    <w:basedOn w:val="854"/>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26">
    <w:name w:val="Bordered - Accent 2"/>
    <w:basedOn w:val="854"/>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27">
    <w:name w:val="Bordered - Accent 3"/>
    <w:basedOn w:val="854"/>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28">
    <w:name w:val="Bordered - Accent 4"/>
    <w:basedOn w:val="85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29">
    <w:name w:val="Bordered - Accent 5"/>
    <w:basedOn w:val="854"/>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30">
    <w:name w:val="Bordered - Accent 6"/>
    <w:basedOn w:val="854"/>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paragraph" w:styleId="831">
    <w:name w:val="footnote text"/>
    <w:basedOn w:val="847"/>
    <w:link w:val="832"/>
    <w:uiPriority w:val="99"/>
    <w:semiHidden/>
    <w:unhideWhenUsed/>
    <w:pPr>
      <w:spacing w:after="40" w:line="240" w:lineRule="auto"/>
    </w:pPr>
    <w:rPr>
      <w:sz w:val="18"/>
    </w:rPr>
  </w:style>
  <w:style w:type="character" w:styleId="832">
    <w:name w:val="Footnote Text Char"/>
    <w:link w:val="831"/>
    <w:uiPriority w:val="99"/>
    <w:rPr>
      <w:sz w:val="18"/>
    </w:rPr>
  </w:style>
  <w:style w:type="character" w:styleId="833">
    <w:name w:val="footnote reference"/>
    <w:basedOn w:val="853"/>
    <w:uiPriority w:val="99"/>
    <w:unhideWhenUsed/>
    <w:rPr>
      <w:vertAlign w:val="superscript"/>
    </w:rPr>
  </w:style>
  <w:style w:type="paragraph" w:styleId="834">
    <w:name w:val="endnote text"/>
    <w:basedOn w:val="847"/>
    <w:link w:val="835"/>
    <w:uiPriority w:val="99"/>
    <w:semiHidden/>
    <w:unhideWhenUsed/>
    <w:pPr>
      <w:spacing w:after="0" w:line="240" w:lineRule="auto"/>
    </w:pPr>
    <w:rPr>
      <w:sz w:val="20"/>
    </w:rPr>
  </w:style>
  <w:style w:type="character" w:styleId="835">
    <w:name w:val="Endnote Text Char"/>
    <w:link w:val="834"/>
    <w:uiPriority w:val="99"/>
    <w:rPr>
      <w:sz w:val="20"/>
    </w:rPr>
  </w:style>
  <w:style w:type="character" w:styleId="836">
    <w:name w:val="endnote reference"/>
    <w:basedOn w:val="853"/>
    <w:uiPriority w:val="99"/>
    <w:semiHidden/>
    <w:unhideWhenUsed/>
    <w:rPr>
      <w:vertAlign w:val="superscript"/>
    </w:rPr>
  </w:style>
  <w:style w:type="paragraph" w:styleId="837">
    <w:name w:val="toc 2"/>
    <w:basedOn w:val="847"/>
    <w:next w:val="847"/>
    <w:uiPriority w:val="39"/>
    <w:unhideWhenUsed/>
    <w:pPr>
      <w:ind w:left="283" w:right="0" w:firstLine="0"/>
      <w:spacing w:after="57"/>
    </w:pPr>
  </w:style>
  <w:style w:type="paragraph" w:styleId="838">
    <w:name w:val="toc 3"/>
    <w:basedOn w:val="847"/>
    <w:next w:val="847"/>
    <w:uiPriority w:val="39"/>
    <w:unhideWhenUsed/>
    <w:pPr>
      <w:ind w:left="567" w:right="0" w:firstLine="0"/>
      <w:spacing w:after="57"/>
    </w:pPr>
  </w:style>
  <w:style w:type="paragraph" w:styleId="839">
    <w:name w:val="toc 4"/>
    <w:basedOn w:val="847"/>
    <w:next w:val="847"/>
    <w:uiPriority w:val="39"/>
    <w:unhideWhenUsed/>
    <w:pPr>
      <w:ind w:left="850" w:right="0" w:firstLine="0"/>
      <w:spacing w:after="57"/>
    </w:pPr>
  </w:style>
  <w:style w:type="paragraph" w:styleId="840">
    <w:name w:val="toc 5"/>
    <w:basedOn w:val="847"/>
    <w:next w:val="847"/>
    <w:uiPriority w:val="39"/>
    <w:unhideWhenUsed/>
    <w:pPr>
      <w:ind w:left="1134" w:right="0" w:firstLine="0"/>
      <w:spacing w:after="57"/>
    </w:pPr>
  </w:style>
  <w:style w:type="paragraph" w:styleId="841">
    <w:name w:val="toc 6"/>
    <w:basedOn w:val="847"/>
    <w:next w:val="847"/>
    <w:uiPriority w:val="39"/>
    <w:unhideWhenUsed/>
    <w:pPr>
      <w:ind w:left="1417" w:right="0" w:firstLine="0"/>
      <w:spacing w:after="57"/>
    </w:pPr>
  </w:style>
  <w:style w:type="paragraph" w:styleId="842">
    <w:name w:val="toc 7"/>
    <w:basedOn w:val="847"/>
    <w:next w:val="847"/>
    <w:uiPriority w:val="39"/>
    <w:unhideWhenUsed/>
    <w:pPr>
      <w:ind w:left="1701" w:right="0" w:firstLine="0"/>
      <w:spacing w:after="57"/>
    </w:pPr>
  </w:style>
  <w:style w:type="paragraph" w:styleId="843">
    <w:name w:val="toc 8"/>
    <w:basedOn w:val="847"/>
    <w:next w:val="847"/>
    <w:uiPriority w:val="39"/>
    <w:unhideWhenUsed/>
    <w:pPr>
      <w:ind w:left="1984" w:right="0" w:firstLine="0"/>
      <w:spacing w:after="57"/>
    </w:pPr>
  </w:style>
  <w:style w:type="paragraph" w:styleId="844">
    <w:name w:val="toc 9"/>
    <w:basedOn w:val="847"/>
    <w:next w:val="847"/>
    <w:uiPriority w:val="39"/>
    <w:unhideWhenUsed/>
    <w:pPr>
      <w:ind w:left="2268" w:right="0" w:firstLine="0"/>
      <w:spacing w:after="57"/>
    </w:pPr>
  </w:style>
  <w:style w:type="paragraph" w:styleId="845">
    <w:name w:val="TOC Heading"/>
    <w:uiPriority w:val="39"/>
    <w:unhideWhenUsed/>
  </w:style>
  <w:style w:type="paragraph" w:styleId="846">
    <w:name w:val="table of figures"/>
    <w:basedOn w:val="847"/>
    <w:next w:val="847"/>
    <w:uiPriority w:val="99"/>
    <w:unhideWhenUsed/>
    <w:pPr>
      <w:spacing w:after="0" w:afterAutospacing="0"/>
    </w:pPr>
  </w:style>
  <w:style w:type="paragraph" w:styleId="847" w:default="1">
    <w:name w:val="Normal"/>
    <w:uiPriority w:val="0"/>
    <w:qFormat/>
    <w:pPr>
      <w:jc w:val="both"/>
      <w:widowControl w:val="off"/>
    </w:pPr>
    <w:rPr>
      <w:rFonts w:ascii="Times New Roman" w:hAnsi="Times New Roman" w:eastAsia="楷体_GB2312" w:cs="Times New Roman"/>
      <w:sz w:val="26"/>
      <w:lang w:val="en-US" w:eastAsia="zh-CN" w:bidi="ar-SA"/>
    </w:rPr>
  </w:style>
  <w:style w:type="paragraph" w:styleId="848">
    <w:name w:val="Heading 1"/>
    <w:basedOn w:val="847"/>
    <w:next w:val="847"/>
    <w:link w:val="893"/>
    <w:uiPriority w:val="0"/>
    <w:qFormat/>
    <w:pPr>
      <w:keepLines/>
      <w:keepNext/>
      <w:spacing w:before="340" w:after="330" w:line="578" w:lineRule="auto"/>
      <w:outlineLvl w:val="0"/>
    </w:pPr>
    <w:rPr>
      <w:b/>
      <w:sz w:val="44"/>
    </w:rPr>
  </w:style>
  <w:style w:type="paragraph" w:styleId="849">
    <w:name w:val="Heading 2"/>
    <w:basedOn w:val="847"/>
    <w:next w:val="847"/>
    <w:link w:val="894"/>
    <w:uiPriority w:val="0"/>
    <w:qFormat/>
    <w:pPr>
      <w:keepLines/>
      <w:keepNext/>
      <w:spacing w:before="260" w:after="260" w:line="416" w:lineRule="auto"/>
      <w:outlineLvl w:val="1"/>
    </w:pPr>
    <w:rPr>
      <w:rFonts w:ascii="Arial" w:hAnsi="Arial" w:eastAsia="黑体"/>
      <w:b/>
      <w:bCs/>
      <w:sz w:val="32"/>
      <w:szCs w:val="32"/>
    </w:rPr>
  </w:style>
  <w:style w:type="paragraph" w:styleId="850">
    <w:name w:val="Heading 3"/>
    <w:basedOn w:val="847"/>
    <w:next w:val="847"/>
    <w:link w:val="895"/>
    <w:uiPriority w:val="0"/>
    <w:qFormat/>
    <w:pPr>
      <w:keepLines/>
      <w:keepNext/>
      <w:spacing w:before="260" w:after="260" w:line="416" w:lineRule="auto"/>
      <w:outlineLvl w:val="2"/>
    </w:pPr>
    <w:rPr>
      <w:b/>
      <w:bCs/>
      <w:sz w:val="32"/>
      <w:szCs w:val="32"/>
    </w:rPr>
  </w:style>
  <w:style w:type="paragraph" w:styleId="851">
    <w:name w:val="Heading 4"/>
    <w:basedOn w:val="847"/>
    <w:next w:val="847"/>
    <w:link w:val="896"/>
    <w:uiPriority w:val="0"/>
    <w:qFormat/>
    <w:pPr>
      <w:keepLines/>
      <w:keepNext/>
      <w:spacing w:before="280" w:after="290" w:line="376" w:lineRule="auto"/>
      <w:outlineLvl w:val="3"/>
    </w:pPr>
    <w:rPr>
      <w:rFonts w:ascii="Arial" w:hAnsi="Arial" w:eastAsia="黑体"/>
      <w:b/>
      <w:bCs/>
      <w:sz w:val="28"/>
      <w:szCs w:val="28"/>
    </w:rPr>
  </w:style>
  <w:style w:type="paragraph" w:styleId="852">
    <w:name w:val="Heading 5"/>
    <w:basedOn w:val="847"/>
    <w:next w:val="847"/>
    <w:uiPriority w:val="1"/>
    <w:qFormat/>
    <w:pPr>
      <w:ind w:left="721"/>
      <w:outlineLvl w:val="4"/>
    </w:pPr>
    <w:rPr>
      <w:b/>
      <w:bCs/>
      <w:sz w:val="21"/>
      <w:szCs w:val="21"/>
    </w:rPr>
  </w:style>
  <w:style w:type="character" w:styleId="853" w:default="1">
    <w:name w:val="Default Paragraph Font"/>
    <w:uiPriority w:val="1"/>
    <w:semiHidden/>
    <w:unhideWhenUsed/>
    <w:qFormat/>
  </w:style>
  <w:style w:type="table" w:styleId="854" w:default="1">
    <w:name w:val="Normal Table"/>
    <w:uiPriority w:val="99"/>
    <w:semiHidden/>
    <w:unhideWhenUsed/>
    <w:qFormat/>
    <w:tblPr>
      <w:tblCellMar>
        <w:left w:w="108" w:type="dxa"/>
        <w:top w:w="0" w:type="dxa"/>
        <w:right w:w="108" w:type="dxa"/>
        <w:bottom w:w="0" w:type="dxa"/>
      </w:tblCellMar>
    </w:tblPr>
  </w:style>
  <w:style w:type="paragraph" w:styleId="855">
    <w:name w:val="List Number"/>
    <w:basedOn w:val="847"/>
    <w:uiPriority w:val="0"/>
    <w:qFormat/>
    <w:pPr>
      <w:ind w:left="1125" w:hanging="555"/>
      <w:tabs>
        <w:tab w:val="left" w:pos="1125" w:leader="none"/>
      </w:tabs>
    </w:pPr>
    <w:rPr>
      <w:rFonts w:eastAsia="宋体"/>
      <w:sz w:val="21"/>
      <w:szCs w:val="24"/>
    </w:rPr>
  </w:style>
  <w:style w:type="paragraph" w:styleId="856">
    <w:name w:val="Normal Indent"/>
    <w:basedOn w:val="847"/>
    <w:link w:val="897"/>
    <w:uiPriority w:val="99"/>
    <w:qFormat/>
    <w:pPr>
      <w:ind w:firstLine="420"/>
      <w:jc w:val="left"/>
    </w:pPr>
    <w:rPr>
      <w:sz w:val="24"/>
    </w:rPr>
  </w:style>
  <w:style w:type="paragraph" w:styleId="857">
    <w:name w:val="List Bullet"/>
    <w:basedOn w:val="848"/>
    <w:next w:val="847"/>
    <w:uiPriority w:val="99"/>
    <w:semiHidden/>
    <w:unhideWhenUsed/>
    <w:qFormat/>
    <w:pPr>
      <w:numPr>
        <w:ilvl w:val="0"/>
        <w:numId w:val="1"/>
      </w:numPr>
    </w:pPr>
  </w:style>
  <w:style w:type="paragraph" w:styleId="858">
    <w:name w:val="Document Map"/>
    <w:basedOn w:val="847"/>
    <w:uiPriority w:val="0"/>
    <w:qFormat/>
    <w:rPr>
      <w:rFonts w:ascii="宋体" w:cs="Times New Roman"/>
      <w:sz w:val="18"/>
      <w:szCs w:val="18"/>
    </w:rPr>
  </w:style>
  <w:style w:type="paragraph" w:styleId="859">
    <w:name w:val="annotation text"/>
    <w:basedOn w:val="847"/>
    <w:link w:val="910"/>
    <w:uiPriority w:val="99"/>
    <w:semiHidden/>
    <w:qFormat/>
    <w:pPr>
      <w:jc w:val="left"/>
    </w:pPr>
  </w:style>
  <w:style w:type="paragraph" w:styleId="860">
    <w:name w:val="Body Text"/>
    <w:basedOn w:val="847"/>
    <w:link w:val="902"/>
    <w:uiPriority w:val="0"/>
    <w:qFormat/>
    <w:pPr>
      <w:spacing w:line="400" w:lineRule="exact"/>
    </w:pPr>
    <w:rPr>
      <w:rFonts w:ascii="楷体_GB2312"/>
      <w:sz w:val="28"/>
    </w:rPr>
  </w:style>
  <w:style w:type="paragraph" w:styleId="861">
    <w:name w:val="Body Text Indent"/>
    <w:basedOn w:val="847"/>
    <w:next w:val="862"/>
    <w:link w:val="913"/>
    <w:uiPriority w:val="0"/>
    <w:qFormat/>
    <w:pPr>
      <w:ind w:left="420"/>
      <w:spacing w:after="120"/>
    </w:pPr>
  </w:style>
  <w:style w:type="paragraph" w:styleId="862" w:customStyle="1">
    <w:name w:val="目录 51"/>
    <w:next w:val="847"/>
    <w:uiPriority w:val="0"/>
    <w:qFormat/>
    <w:pPr>
      <w:ind w:left="1275"/>
      <w:jc w:val="both"/>
    </w:pPr>
    <w:rPr>
      <w:rFonts w:ascii="Times New Roman" w:hAnsi="Times New Roman" w:eastAsia="宋体" w:cs="Times New Roman"/>
      <w:sz w:val="21"/>
      <w:lang w:val="en-US" w:eastAsia="zh-CN" w:bidi="ar-SA"/>
    </w:rPr>
  </w:style>
  <w:style w:type="paragraph" w:styleId="863">
    <w:name w:val="Block Text"/>
    <w:basedOn w:val="847"/>
    <w:uiPriority w:val="0"/>
    <w:qFormat/>
    <w:pPr>
      <w:ind w:left="147" w:right="246" w:firstLine="480"/>
      <w:spacing w:line="360" w:lineRule="auto"/>
    </w:pPr>
    <w:rPr>
      <w:rFonts w:ascii="宋体" w:hAnsi="宋体" w:eastAsia="宋体"/>
      <w:sz w:val="24"/>
      <w:szCs w:val="24"/>
    </w:rPr>
  </w:style>
  <w:style w:type="paragraph" w:styleId="864">
    <w:name w:val="Plain Text"/>
    <w:basedOn w:val="847"/>
    <w:link w:val="900"/>
    <w:uiPriority w:val="99"/>
    <w:qFormat/>
    <w:rPr>
      <w:rFonts w:ascii="宋体" w:hAnsi="Courier New"/>
    </w:rPr>
  </w:style>
  <w:style w:type="paragraph" w:styleId="865">
    <w:name w:val="Date"/>
    <w:basedOn w:val="847"/>
    <w:next w:val="847"/>
    <w:link w:val="901"/>
    <w:uiPriority w:val="0"/>
    <w:qFormat/>
    <w:rPr>
      <w:rFonts w:ascii="宋体" w:hAnsi="宋体"/>
      <w:sz w:val="24"/>
    </w:rPr>
  </w:style>
  <w:style w:type="paragraph" w:styleId="866">
    <w:name w:val="Body Text Indent 2"/>
    <w:basedOn w:val="847"/>
    <w:link w:val="903"/>
    <w:uiPriority w:val="0"/>
    <w:qFormat/>
    <w:pPr>
      <w:ind w:firstLine="502"/>
      <w:spacing w:line="360" w:lineRule="auto"/>
      <w:tabs>
        <w:tab w:val="left" w:pos="0" w:leader="none"/>
      </w:tabs>
    </w:pPr>
    <w:rPr>
      <w:rFonts w:ascii="宋体" w:eastAsia="宋体"/>
      <w:b/>
      <w:bCs/>
      <w:sz w:val="24"/>
    </w:rPr>
  </w:style>
  <w:style w:type="paragraph" w:styleId="867">
    <w:name w:val="Balloon Text"/>
    <w:basedOn w:val="847"/>
    <w:link w:val="904"/>
    <w:uiPriority w:val="0"/>
    <w:semiHidden/>
    <w:qFormat/>
    <w:rPr>
      <w:sz w:val="18"/>
      <w:szCs w:val="18"/>
    </w:rPr>
  </w:style>
  <w:style w:type="paragraph" w:styleId="868">
    <w:name w:val="Footer"/>
    <w:basedOn w:val="847"/>
    <w:link w:val="892"/>
    <w:uiPriority w:val="99"/>
    <w:unhideWhenUsed/>
    <w:qFormat/>
    <w:pPr>
      <w:jc w:val="left"/>
      <w:tabs>
        <w:tab w:val="center" w:pos="4153" w:leader="none"/>
        <w:tab w:val="right" w:pos="8306" w:leader="none"/>
      </w:tabs>
    </w:pPr>
    <w:rPr>
      <w:sz w:val="18"/>
      <w:szCs w:val="18"/>
    </w:rPr>
  </w:style>
  <w:style w:type="paragraph" w:styleId="869">
    <w:name w:val="envelope return"/>
    <w:basedOn w:val="847"/>
    <w:uiPriority w:val="0"/>
    <w:qFormat/>
    <w:rPr>
      <w:rFonts w:ascii="Arial" w:hAnsi="Arial"/>
    </w:rPr>
  </w:style>
  <w:style w:type="paragraph" w:styleId="870">
    <w:name w:val="Header"/>
    <w:basedOn w:val="847"/>
    <w:link w:val="891"/>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871">
    <w:name w:val="toc 1"/>
    <w:basedOn w:val="847"/>
    <w:next w:val="847"/>
    <w:uiPriority w:val="39"/>
    <w:qFormat/>
    <w:pPr>
      <w:jc w:val="left"/>
    </w:pPr>
    <w:rPr>
      <w:sz w:val="24"/>
    </w:rPr>
  </w:style>
  <w:style w:type="paragraph" w:styleId="872">
    <w:name w:val="Subtitle"/>
    <w:basedOn w:val="847"/>
    <w:next w:val="847"/>
    <w:link w:val="929"/>
    <w:uiPriority w:val="0"/>
    <w:qFormat/>
    <w:pPr>
      <w:jc w:val="center"/>
      <w:spacing w:before="240" w:after="60" w:line="312" w:lineRule="auto"/>
      <w:outlineLvl w:val="1"/>
    </w:pPr>
    <w:rPr>
      <w:rFonts w:ascii="Cambria" w:hAnsi="Cambria" w:eastAsia="宋体"/>
      <w:b/>
      <w:bCs/>
      <w:sz w:val="32"/>
      <w:szCs w:val="32"/>
    </w:rPr>
  </w:style>
  <w:style w:type="paragraph" w:styleId="873">
    <w:name w:val="Body Text Indent 3"/>
    <w:basedOn w:val="847"/>
    <w:link w:val="905"/>
    <w:uiPriority w:val="0"/>
    <w:qFormat/>
    <w:pPr>
      <w:ind w:left="420"/>
      <w:spacing w:after="120"/>
    </w:pPr>
    <w:rPr>
      <w:sz w:val="16"/>
      <w:szCs w:val="16"/>
    </w:rPr>
  </w:style>
  <w:style w:type="paragraph" w:styleId="874">
    <w:name w:val="Body Text 2"/>
    <w:basedOn w:val="848"/>
    <w:next w:val="857"/>
    <w:uiPriority w:val="0"/>
    <w:qFormat/>
    <w:pPr>
      <w:spacing w:after="120" w:line="480" w:lineRule="auto"/>
    </w:pPr>
  </w:style>
  <w:style w:type="paragraph" w:styleId="875">
    <w:name w:val="Normal (Web)"/>
    <w:basedOn w:val="847"/>
    <w:next w:val="847"/>
    <w:uiPriority w:val="99"/>
    <w:qFormat/>
    <w:pPr>
      <w:jc w:val="left"/>
      <w:spacing w:before="100" w:beforeAutospacing="1" w:after="100" w:afterAutospacing="1"/>
      <w:widowControl/>
    </w:pPr>
    <w:rPr>
      <w:rFonts w:ascii="宋体" w:hAnsi="宋体" w:eastAsia="宋体" w:cs="宋体"/>
      <w:sz w:val="24"/>
      <w:szCs w:val="24"/>
    </w:rPr>
  </w:style>
  <w:style w:type="paragraph" w:styleId="876">
    <w:name w:val="index 1"/>
    <w:basedOn w:val="847"/>
    <w:next w:val="847"/>
    <w:uiPriority w:val="0"/>
    <w:semiHidden/>
    <w:qFormat/>
  </w:style>
  <w:style w:type="paragraph" w:styleId="877">
    <w:name w:val="annotation subject"/>
    <w:basedOn w:val="859"/>
    <w:next w:val="859"/>
    <w:link w:val="911"/>
    <w:uiPriority w:val="0"/>
    <w:semiHidden/>
    <w:qFormat/>
    <w:rPr>
      <w:b/>
      <w:bCs/>
    </w:rPr>
  </w:style>
  <w:style w:type="paragraph" w:styleId="878">
    <w:name w:val="Body Text First Indent 2"/>
    <w:basedOn w:val="861"/>
    <w:next w:val="847"/>
    <w:link w:val="925"/>
    <w:uiPriority w:val="0"/>
    <w:qFormat/>
    <w:pPr>
      <w:ind w:firstLine="420"/>
    </w:pPr>
    <w:rPr>
      <w:rFonts w:eastAsia="宋体"/>
      <w:sz w:val="21"/>
      <w:szCs w:val="24"/>
    </w:rPr>
  </w:style>
  <w:style w:type="table" w:styleId="879">
    <w:name w:val="Table Grid"/>
    <w:basedOn w:val="854"/>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80">
    <w:name w:val="page number"/>
    <w:basedOn w:val="853"/>
    <w:uiPriority w:val="0"/>
    <w:qFormat/>
  </w:style>
  <w:style w:type="character" w:styleId="881">
    <w:name w:val="FollowedHyperlink"/>
    <w:basedOn w:val="853"/>
    <w:uiPriority w:val="99"/>
    <w:semiHidden/>
    <w:unhideWhenUsed/>
    <w:qFormat/>
    <w:rPr>
      <w:color w:val="333333"/>
      <w:u w:val="none"/>
    </w:rPr>
  </w:style>
  <w:style w:type="character" w:styleId="882">
    <w:name w:val="Emphasis"/>
    <w:basedOn w:val="853"/>
    <w:uiPriority w:val="20"/>
    <w:qFormat/>
  </w:style>
  <w:style w:type="character" w:styleId="883">
    <w:name w:val="Hyperlink"/>
    <w:basedOn w:val="853"/>
    <w:uiPriority w:val="0"/>
    <w:qFormat/>
    <w:rPr>
      <w:color w:val="333333"/>
      <w:u w:val="none"/>
    </w:rPr>
  </w:style>
  <w:style w:type="character" w:styleId="884">
    <w:name w:val="annotation reference"/>
    <w:uiPriority w:val="99"/>
    <w:semiHidden/>
    <w:qFormat/>
    <w:rPr>
      <w:sz w:val="21"/>
      <w:szCs w:val="21"/>
    </w:rPr>
  </w:style>
  <w:style w:type="paragraph" w:styleId="885" w:customStyle="1">
    <w:name w:val="正文文本缩进11"/>
    <w:basedOn w:val="847"/>
    <w:next w:val="886"/>
    <w:uiPriority w:val="0"/>
    <w:qFormat/>
    <w:pPr>
      <w:ind w:firstLine="420"/>
      <w:spacing w:line="360" w:lineRule="exact"/>
    </w:pPr>
    <w:rPr>
      <w:sz w:val="24"/>
    </w:rPr>
  </w:style>
  <w:style w:type="paragraph" w:styleId="886" w:customStyle="1">
    <w:name w:val="寄信人地址1"/>
    <w:basedOn w:val="847"/>
    <w:uiPriority w:val="0"/>
    <w:qFormat/>
    <w:rPr>
      <w:rFonts w:ascii="Arial" w:hAnsi="Arial"/>
    </w:rPr>
  </w:style>
  <w:style w:type="paragraph" w:styleId="887" w:customStyle="1">
    <w:name w:val="首行缩进"/>
    <w:basedOn w:val="847"/>
    <w:uiPriority w:val="0"/>
    <w:qFormat/>
    <w:pPr>
      <w:ind w:firstLine="480"/>
    </w:pPr>
    <w:rPr>
      <w:lang w:val="zh-CN"/>
    </w:rPr>
  </w:style>
  <w:style w:type="paragraph" w:styleId="888" w:customStyle="1">
    <w:name w:val="段"/>
    <w:next w:val="847"/>
    <w:uiPriority w:val="0"/>
    <w:qFormat/>
    <w:pPr>
      <w:ind w:firstLine="200"/>
      <w:jc w:val="both"/>
    </w:pPr>
    <w:rPr>
      <w:rFonts w:ascii="宋体" w:hAnsi="Times New Roman" w:eastAsia="宋体" w:cs="Times New Roman"/>
      <w:sz w:val="21"/>
      <w:lang w:val="en-US" w:eastAsia="zh-CN" w:bidi="ar-SA"/>
    </w:rPr>
  </w:style>
  <w:style w:type="paragraph" w:styleId="889" w:customStyle="1">
    <w:name w:val="正文文本1"/>
    <w:basedOn w:val="847"/>
    <w:uiPriority w:val="0"/>
    <w:qFormat/>
    <w:pPr>
      <w:jc w:val="center"/>
    </w:pPr>
    <w:rPr>
      <w:rFonts w:ascii="方正大黑简体" w:hAnsi="Tahoma" w:eastAsia="方正大黑简体"/>
      <w:position w:val="6"/>
      <w:sz w:val="30"/>
      <w:lang w:eastAsia="en-US"/>
    </w:rPr>
  </w:style>
  <w:style w:type="paragraph" w:styleId="890" w:customStyle="1">
    <w:name w:val="Default"/>
    <w:next w:val="847"/>
    <w:uiPriority w:val="0"/>
    <w:qFormat/>
    <w:pPr>
      <w:widowControl w:val="off"/>
    </w:pPr>
    <w:rPr>
      <w:rFonts w:ascii="宋体糭.飬.." w:hAnsi="Times New Roman" w:eastAsia="宋体糭.飬.." w:cs="宋体糭.飬.."/>
      <w:color w:val="000000"/>
      <w:sz w:val="24"/>
      <w:szCs w:val="24"/>
      <w:lang w:val="en-US" w:eastAsia="zh-CN" w:bidi="ar-SA"/>
    </w:rPr>
  </w:style>
  <w:style w:type="character" w:styleId="891" w:customStyle="1">
    <w:name w:val="页眉 Char"/>
    <w:basedOn w:val="853"/>
    <w:link w:val="870"/>
    <w:uiPriority w:val="0"/>
    <w:qFormat/>
    <w:rPr>
      <w:sz w:val="18"/>
      <w:szCs w:val="18"/>
    </w:rPr>
  </w:style>
  <w:style w:type="character" w:styleId="892" w:customStyle="1">
    <w:name w:val="页脚 Char"/>
    <w:basedOn w:val="853"/>
    <w:link w:val="868"/>
    <w:uiPriority w:val="99"/>
    <w:qFormat/>
    <w:rPr>
      <w:sz w:val="18"/>
      <w:szCs w:val="18"/>
    </w:rPr>
  </w:style>
  <w:style w:type="character" w:styleId="893" w:customStyle="1">
    <w:name w:val="标题 1 Char"/>
    <w:basedOn w:val="853"/>
    <w:link w:val="848"/>
    <w:uiPriority w:val="0"/>
    <w:qFormat/>
    <w:rPr>
      <w:rFonts w:ascii="Times New Roman" w:hAnsi="Times New Roman" w:eastAsia="楷体_GB2312" w:cs="Times New Roman"/>
      <w:b/>
      <w:sz w:val="44"/>
      <w:szCs w:val="20"/>
    </w:rPr>
  </w:style>
  <w:style w:type="character" w:styleId="894" w:customStyle="1">
    <w:name w:val="标题 2 Char"/>
    <w:basedOn w:val="853"/>
    <w:link w:val="849"/>
    <w:uiPriority w:val="0"/>
    <w:qFormat/>
    <w:rPr>
      <w:rFonts w:ascii="Arial" w:hAnsi="Arial" w:eastAsia="黑体" w:cs="Times New Roman"/>
      <w:b/>
      <w:bCs/>
      <w:sz w:val="32"/>
      <w:szCs w:val="32"/>
    </w:rPr>
  </w:style>
  <w:style w:type="character" w:styleId="895" w:customStyle="1">
    <w:name w:val="标题 3 Char"/>
    <w:basedOn w:val="853"/>
    <w:link w:val="850"/>
    <w:uiPriority w:val="0"/>
    <w:qFormat/>
    <w:rPr>
      <w:rFonts w:ascii="Times New Roman" w:hAnsi="Times New Roman" w:eastAsia="楷体_GB2312" w:cs="Times New Roman"/>
      <w:b/>
      <w:bCs/>
      <w:sz w:val="32"/>
      <w:szCs w:val="32"/>
    </w:rPr>
  </w:style>
  <w:style w:type="character" w:styleId="896" w:customStyle="1">
    <w:name w:val="标题 4 Char"/>
    <w:basedOn w:val="853"/>
    <w:link w:val="851"/>
    <w:uiPriority w:val="0"/>
    <w:qFormat/>
    <w:rPr>
      <w:rFonts w:ascii="Arial" w:hAnsi="Arial" w:eastAsia="黑体" w:cs="Times New Roman"/>
      <w:b/>
      <w:bCs/>
      <w:sz w:val="28"/>
      <w:szCs w:val="28"/>
    </w:rPr>
  </w:style>
  <w:style w:type="character" w:styleId="897" w:customStyle="1">
    <w:name w:val="正文缩进 Char1"/>
    <w:link w:val="856"/>
    <w:uiPriority w:val="0"/>
    <w:qFormat/>
    <w:rPr>
      <w:rFonts w:ascii="Times New Roman" w:hAnsi="Times New Roman" w:eastAsia="楷体_GB2312" w:cs="Times New Roman"/>
      <w:sz w:val="24"/>
      <w:szCs w:val="20"/>
    </w:rPr>
  </w:style>
  <w:style w:type="paragraph" w:styleId="898" w:customStyle="1">
    <w:name w:val="纯文本1"/>
    <w:basedOn w:val="847"/>
    <w:link w:val="899"/>
    <w:uiPriority w:val="0"/>
    <w:qFormat/>
    <w:rPr>
      <w:rFonts w:ascii="宋体" w:hAnsi="Courier New"/>
    </w:rPr>
  </w:style>
  <w:style w:type="character" w:styleId="899" w:customStyle="1">
    <w:name w:val="Plain Text Char Char"/>
    <w:link w:val="898"/>
    <w:uiPriority w:val="0"/>
    <w:qFormat/>
    <w:rPr>
      <w:rFonts w:ascii="宋体" w:hAnsi="Courier New" w:eastAsia="楷体_GB2312" w:cs="Times New Roman"/>
      <w:sz w:val="26"/>
      <w:szCs w:val="20"/>
    </w:rPr>
  </w:style>
  <w:style w:type="character" w:styleId="900" w:customStyle="1">
    <w:name w:val="纯文本 Char"/>
    <w:basedOn w:val="853"/>
    <w:link w:val="864"/>
    <w:uiPriority w:val="99"/>
    <w:qFormat/>
    <w:rPr>
      <w:rFonts w:ascii="宋体" w:hAnsi="Courier New" w:eastAsia="楷体_GB2312" w:cs="Times New Roman"/>
      <w:sz w:val="26"/>
      <w:szCs w:val="20"/>
    </w:rPr>
  </w:style>
  <w:style w:type="character" w:styleId="901" w:customStyle="1">
    <w:name w:val="日期 Char"/>
    <w:basedOn w:val="853"/>
    <w:link w:val="865"/>
    <w:uiPriority w:val="0"/>
    <w:qFormat/>
    <w:rPr>
      <w:rFonts w:ascii="宋体" w:hAnsi="宋体" w:eastAsia="楷体_GB2312" w:cs="Times New Roman"/>
      <w:sz w:val="24"/>
      <w:szCs w:val="20"/>
    </w:rPr>
  </w:style>
  <w:style w:type="character" w:styleId="902" w:customStyle="1">
    <w:name w:val="正文文本 Char"/>
    <w:basedOn w:val="853"/>
    <w:link w:val="860"/>
    <w:uiPriority w:val="0"/>
    <w:qFormat/>
    <w:rPr>
      <w:rFonts w:ascii="楷体_GB2312" w:hAnsi="Times New Roman" w:eastAsia="楷体_GB2312" w:cs="Times New Roman"/>
      <w:sz w:val="28"/>
      <w:szCs w:val="20"/>
    </w:rPr>
  </w:style>
  <w:style w:type="character" w:styleId="903" w:customStyle="1">
    <w:name w:val="正文文本缩进 2 Char"/>
    <w:basedOn w:val="853"/>
    <w:link w:val="866"/>
    <w:uiPriority w:val="0"/>
    <w:qFormat/>
    <w:rPr>
      <w:rFonts w:ascii="宋体" w:hAnsi="Times New Roman" w:eastAsia="宋体" w:cs="Times New Roman"/>
      <w:b/>
      <w:bCs/>
      <w:sz w:val="24"/>
      <w:szCs w:val="20"/>
    </w:rPr>
  </w:style>
  <w:style w:type="character" w:styleId="904" w:customStyle="1">
    <w:name w:val="批注框文本 Char"/>
    <w:basedOn w:val="853"/>
    <w:link w:val="867"/>
    <w:uiPriority w:val="0"/>
    <w:semiHidden/>
    <w:qFormat/>
    <w:rPr>
      <w:rFonts w:ascii="Times New Roman" w:hAnsi="Times New Roman" w:eastAsia="楷体_GB2312" w:cs="Times New Roman"/>
      <w:sz w:val="18"/>
      <w:szCs w:val="18"/>
    </w:rPr>
  </w:style>
  <w:style w:type="character" w:styleId="905" w:customStyle="1">
    <w:name w:val="正文文本缩进 3 Char"/>
    <w:basedOn w:val="853"/>
    <w:link w:val="873"/>
    <w:uiPriority w:val="0"/>
    <w:qFormat/>
    <w:rPr>
      <w:rFonts w:ascii="Times New Roman" w:hAnsi="Times New Roman" w:eastAsia="楷体_GB2312" w:cs="Times New Roman"/>
      <w:sz w:val="16"/>
      <w:szCs w:val="16"/>
    </w:rPr>
  </w:style>
  <w:style w:type="character" w:styleId="906" w:customStyle="1">
    <w:name w:val="正文首行缩进 Char Char"/>
    <w:link w:val="907"/>
    <w:uiPriority w:val="0"/>
    <w:qFormat/>
    <w:rPr>
      <w:szCs w:val="24"/>
    </w:rPr>
  </w:style>
  <w:style w:type="paragraph" w:styleId="907" w:customStyle="1">
    <w:name w:val="正文首行缩进1"/>
    <w:basedOn w:val="860"/>
    <w:link w:val="906"/>
    <w:uiPriority w:val="0"/>
    <w:qFormat/>
    <w:pPr>
      <w:ind w:firstLine="420"/>
      <w:spacing w:after="120" w:line="240" w:lineRule="auto"/>
    </w:pPr>
    <w:rPr>
      <w:rFonts w:asciiTheme="minorHAnsi" w:hAnsiTheme="minorHAnsi" w:eastAsiaTheme="minorEastAsia" w:cstheme="minorBidi"/>
      <w:sz w:val="21"/>
      <w:szCs w:val="24"/>
    </w:rPr>
  </w:style>
  <w:style w:type="paragraph" w:styleId="908" w:customStyle="1">
    <w:name w:val="_Style 24"/>
    <w:basedOn w:val="847"/>
    <w:uiPriority w:val="0"/>
    <w:qFormat/>
    <w:rPr>
      <w:rFonts w:eastAsia="宋体"/>
      <w:sz w:val="21"/>
      <w:szCs w:val="24"/>
    </w:rPr>
  </w:style>
  <w:style w:type="character" w:styleId="909" w:customStyle="1">
    <w:name w:val="Char Char1"/>
    <w:uiPriority w:val="0"/>
    <w:qFormat/>
    <w:rPr>
      <w:rFonts w:ascii="宋体" w:hAnsi="Courier New" w:eastAsia="楷体_GB2312"/>
      <w:sz w:val="26"/>
      <w:lang w:val="en-US" w:eastAsia="zh-CN" w:bidi="ar-SA"/>
    </w:rPr>
  </w:style>
  <w:style w:type="character" w:styleId="910" w:customStyle="1">
    <w:name w:val="批注文字 Char"/>
    <w:basedOn w:val="853"/>
    <w:link w:val="859"/>
    <w:uiPriority w:val="99"/>
    <w:semiHidden/>
    <w:qFormat/>
    <w:rPr>
      <w:rFonts w:ascii="Times New Roman" w:hAnsi="Times New Roman" w:eastAsia="楷体_GB2312" w:cs="Times New Roman"/>
      <w:sz w:val="26"/>
      <w:szCs w:val="20"/>
    </w:rPr>
  </w:style>
  <w:style w:type="character" w:styleId="911" w:customStyle="1">
    <w:name w:val="批注主题 Char"/>
    <w:basedOn w:val="910"/>
    <w:link w:val="877"/>
    <w:uiPriority w:val="0"/>
    <w:semiHidden/>
    <w:qFormat/>
    <w:rPr>
      <w:rFonts w:ascii="Times New Roman" w:hAnsi="Times New Roman" w:eastAsia="楷体_GB2312" w:cs="Times New Roman"/>
      <w:b/>
      <w:bCs/>
      <w:sz w:val="26"/>
      <w:szCs w:val="20"/>
    </w:rPr>
  </w:style>
  <w:style w:type="paragraph" w:styleId="912" w:customStyle="1">
    <w:name w:val="纯文本111"/>
    <w:basedOn w:val="847"/>
    <w:uiPriority w:val="0"/>
    <w:qFormat/>
    <w:rPr>
      <w:rFonts w:ascii="宋体" w:hAnsi="Courier New"/>
      <w:sz w:val="28"/>
    </w:rPr>
  </w:style>
  <w:style w:type="character" w:styleId="913" w:customStyle="1">
    <w:name w:val="正文文本缩进 Char"/>
    <w:basedOn w:val="853"/>
    <w:link w:val="861"/>
    <w:uiPriority w:val="0"/>
    <w:qFormat/>
    <w:rPr>
      <w:rFonts w:ascii="Times New Roman" w:hAnsi="Times New Roman" w:eastAsia="楷体_GB2312" w:cs="Times New Roman"/>
      <w:sz w:val="26"/>
      <w:szCs w:val="20"/>
    </w:rPr>
  </w:style>
  <w:style w:type="character" w:styleId="914" w:customStyle="1">
    <w:name w:val="ca-221"/>
    <w:uiPriority w:val="0"/>
    <w:qFormat/>
    <w:rPr>
      <w:rFonts w:hint="eastAsia" w:ascii="宋体" w:hAnsi="宋体" w:eastAsia="宋体"/>
      <w:color w:val="ff0000"/>
      <w:sz w:val="24"/>
      <w:szCs w:val="24"/>
    </w:rPr>
  </w:style>
  <w:style w:type="paragraph" w:styleId="915" w:customStyle="1">
    <w:name w:val="p0"/>
    <w:basedOn w:val="847"/>
    <w:uiPriority w:val="0"/>
    <w:qFormat/>
    <w:pPr>
      <w:jc w:val="left"/>
      <w:spacing w:before="100" w:beforeAutospacing="1" w:after="100" w:afterAutospacing="1"/>
      <w:widowControl/>
    </w:pPr>
    <w:rPr>
      <w:rFonts w:ascii="宋体" w:hAnsi="宋体" w:eastAsia="宋体" w:cs="宋体"/>
      <w:sz w:val="24"/>
      <w:szCs w:val="24"/>
    </w:rPr>
  </w:style>
  <w:style w:type="paragraph" w:styleId="916" w:customStyle="1">
    <w:name w:val="正文 Char Char"/>
    <w:uiPriority w:val="0"/>
    <w:qFormat/>
    <w:pPr>
      <w:jc w:val="both"/>
      <w:widowControl w:val="off"/>
    </w:pPr>
    <w:rPr>
      <w:rFonts w:ascii="Times New Roman" w:hAnsi="Times New Roman" w:eastAsia="ヒラギノ角ゴ Pro W3" w:cs="Times New Roman"/>
      <w:color w:val="000000"/>
      <w:sz w:val="26"/>
      <w:lang w:val="en-US" w:eastAsia="en-US" w:bidi="ar-SA"/>
    </w:rPr>
  </w:style>
  <w:style w:type="paragraph" w:styleId="917" w:customStyle="1">
    <w:name w:val="文字"/>
    <w:basedOn w:val="847"/>
    <w:uiPriority w:val="0"/>
    <w:qFormat/>
    <w:pPr>
      <w:ind w:firstLine="420"/>
      <w:spacing w:line="360" w:lineRule="auto"/>
      <w:widowControl/>
    </w:pPr>
    <w:rPr>
      <w:rFonts w:eastAsia="宋体"/>
      <w:sz w:val="24"/>
      <w:szCs w:val="24"/>
    </w:rPr>
  </w:style>
  <w:style w:type="character" w:styleId="918" w:customStyle="1">
    <w:name w:val="正文缩进 Char"/>
    <w:uiPriority w:val="0"/>
    <w:qFormat/>
    <w:rPr>
      <w:rFonts w:eastAsia="楷体_GB2312"/>
      <w:sz w:val="24"/>
      <w:lang w:val="en-US" w:eastAsia="zh-CN" w:bidi="ar-SA"/>
    </w:rPr>
  </w:style>
  <w:style w:type="paragraph" w:styleId="919">
    <w:name w:val="List Paragraph"/>
    <w:basedOn w:val="847"/>
    <w:uiPriority w:val="34"/>
    <w:qFormat/>
    <w:pPr>
      <w:ind w:firstLine="420"/>
    </w:pPr>
    <w:rPr>
      <w:rFonts w:eastAsia="宋体"/>
      <w:sz w:val="21"/>
      <w:szCs w:val="24"/>
    </w:rPr>
  </w:style>
  <w:style w:type="paragraph" w:styleId="920" w:customStyle="1">
    <w:name w:val="xl91"/>
    <w:basedOn w:val="848"/>
    <w:next w:val="921"/>
    <w:uiPriority w:val="0"/>
    <w:qFormat/>
    <w:pPr>
      <w:ind w:firstLine="3584"/>
      <w:spacing w:before="280" w:after="280" w:line="240" w:lineRule="auto"/>
    </w:pPr>
  </w:style>
  <w:style w:type="paragraph" w:styleId="921" w:customStyle="1">
    <w:name w:val="xl76"/>
    <w:basedOn w:val="848"/>
    <w:next w:val="874"/>
    <w:uiPriority w:val="0"/>
    <w:qFormat/>
    <w:pPr>
      <w:ind w:firstLine="3584"/>
      <w:jc w:val="center"/>
      <w:spacing w:before="280" w:after="280" w:line="240" w:lineRule="auto"/>
    </w:pPr>
  </w:style>
  <w:style w:type="paragraph" w:styleId="922" w:customStyle="1">
    <w:name w:val="正文_0_0"/>
    <w:uiPriority w:val="0"/>
    <w:qFormat/>
    <w:pPr>
      <w:jc w:val="both"/>
      <w:widowControl w:val="off"/>
    </w:pPr>
    <w:rPr>
      <w:rFonts w:ascii="Calibri" w:hAnsi="Calibri" w:eastAsia="宋体" w:cs="Times New Roman"/>
      <w:lang w:val="en-US" w:eastAsia="zh-CN" w:bidi="ar-SA"/>
    </w:rPr>
  </w:style>
  <w:style w:type="paragraph" w:styleId="923" w:customStyle="1">
    <w:name w:val="正文1"/>
    <w:uiPriority w:val="0"/>
    <w:qFormat/>
    <w:pPr>
      <w:ind w:firstLine="200"/>
      <w:jc w:val="both"/>
      <w:spacing w:line="360" w:lineRule="auto"/>
      <w:widowControl w:val="off"/>
    </w:pPr>
    <w:rPr>
      <w:rFonts w:ascii="Calibri" w:hAnsi="Calibri" w:eastAsia="仿宋_GB2312" w:cs="Times New Roman"/>
      <w:sz w:val="24"/>
      <w:szCs w:val="22"/>
      <w:lang w:val="en-US" w:eastAsia="zh-CN" w:bidi="ar-SA"/>
    </w:rPr>
  </w:style>
  <w:style w:type="paragraph" w:styleId="924" w:customStyle="1">
    <w:name w:val="修订1"/>
    <w:hidden/>
    <w:uiPriority w:val="99"/>
    <w:semiHidden/>
    <w:qFormat/>
    <w:rPr>
      <w:rFonts w:ascii="Times New Roman" w:hAnsi="Times New Roman" w:eastAsia="楷体_GB2312" w:cs="Times New Roman"/>
      <w:sz w:val="26"/>
      <w:lang w:val="en-US" w:eastAsia="zh-CN" w:bidi="ar-SA"/>
    </w:rPr>
  </w:style>
  <w:style w:type="character" w:styleId="925" w:customStyle="1">
    <w:name w:val="正文首行缩进 2 Char"/>
    <w:basedOn w:val="913"/>
    <w:link w:val="878"/>
    <w:uiPriority w:val="0"/>
    <w:qFormat/>
    <w:rPr>
      <w:rFonts w:ascii="Times New Roman" w:hAnsi="Times New Roman" w:eastAsia="宋体" w:cs="Times New Roman"/>
      <w:sz w:val="26"/>
      <w:szCs w:val="24"/>
    </w:rPr>
  </w:style>
  <w:style w:type="paragraph" w:styleId="926" w:customStyle="1">
    <w:name w:val="b4一级标题"/>
    <w:basedOn w:val="847"/>
    <w:uiPriority w:val="0"/>
    <w:qFormat/>
    <w:pPr>
      <w:jc w:val="center"/>
      <w:spacing w:line="360" w:lineRule="auto"/>
      <w:outlineLvl w:val="0"/>
    </w:pPr>
    <w:rPr>
      <w:rFonts w:ascii="宋体" w:hAnsi="宋体" w:eastAsia="宋体"/>
      <w:b/>
      <w:sz w:val="36"/>
      <w:szCs w:val="36"/>
    </w:rPr>
  </w:style>
  <w:style w:type="paragraph" w:styleId="927" w:customStyle="1">
    <w:name w:val="标题3"/>
    <w:basedOn w:val="850"/>
    <w:uiPriority w:val="0"/>
    <w:qFormat/>
    <w:pPr>
      <w:contextualSpacing/>
      <w:jc w:val="center"/>
      <w:spacing w:line="240" w:lineRule="auto"/>
    </w:pPr>
    <w:rPr>
      <w:rFonts w:eastAsia="黑体" w:cs="宋体"/>
      <w:sz w:val="28"/>
      <w:szCs w:val="20"/>
    </w:rPr>
  </w:style>
  <w:style w:type="paragraph" w:styleId="928" w:customStyle="1">
    <w:name w:val="No Spacing1"/>
    <w:uiPriority w:val="0"/>
    <w:qFormat/>
    <w:pPr>
      <w:jc w:val="both"/>
      <w:widowControl w:val="off"/>
    </w:pPr>
    <w:rPr>
      <w:rFonts w:ascii="Calibri" w:hAnsi="Calibri" w:eastAsia="宋体" w:cs="Times New Roman"/>
      <w:sz w:val="21"/>
      <w:szCs w:val="22"/>
      <w:lang w:val="en-US" w:eastAsia="zh-CN" w:bidi="ar-SA"/>
    </w:rPr>
  </w:style>
  <w:style w:type="character" w:styleId="929" w:customStyle="1">
    <w:name w:val="副标题 Char"/>
    <w:basedOn w:val="853"/>
    <w:link w:val="872"/>
    <w:uiPriority w:val="0"/>
    <w:qFormat/>
    <w:rPr>
      <w:rFonts w:ascii="Cambria" w:hAnsi="Cambria" w:eastAsia="宋体" w:cs="Times New Roman"/>
      <w:b/>
      <w:bCs/>
      <w:sz w:val="32"/>
      <w:szCs w:val="32"/>
    </w:rPr>
  </w:style>
  <w:style w:type="paragraph" w:styleId="930">
    <w:name w:val="No Spacing"/>
    <w:link w:val="931"/>
    <w:uiPriority w:val="1"/>
    <w:qFormat/>
    <w:rPr>
      <w:rFonts w:asciiTheme="minorHAnsi" w:hAnsiTheme="minorHAnsi" w:eastAsiaTheme="minorEastAsia" w:cstheme="minorBidi"/>
      <w:sz w:val="22"/>
      <w:szCs w:val="22"/>
      <w:lang w:val="en-US" w:eastAsia="zh-CN" w:bidi="ar-SA"/>
    </w:rPr>
  </w:style>
  <w:style w:type="character" w:styleId="931" w:customStyle="1">
    <w:name w:val="无间隔 Char"/>
    <w:basedOn w:val="853"/>
    <w:link w:val="930"/>
    <w:uiPriority w:val="1"/>
    <w:qFormat/>
    <w:rPr>
      <w:sz w:val="22"/>
    </w:rPr>
  </w:style>
  <w:style w:type="character" w:styleId="932" w:customStyle="1">
    <w:name w:val="ask-title"/>
    <w:basedOn w:val="853"/>
    <w:uiPriority w:val="0"/>
    <w:qFormat/>
  </w:style>
  <w:style w:type="paragraph" w:styleId="933" w:customStyle="1">
    <w:name w:val="hidinshow"/>
    <w:basedOn w:val="847"/>
    <w:uiPriority w:val="0"/>
    <w:qFormat/>
    <w:pPr>
      <w:jc w:val="left"/>
      <w:spacing w:before="100" w:beforeAutospacing="1" w:after="100" w:afterAutospacing="1"/>
      <w:widowControl/>
    </w:pPr>
    <w:rPr>
      <w:rFonts w:ascii="宋体" w:hAnsi="宋体" w:eastAsia="宋体" w:cs="宋体"/>
      <w:sz w:val="24"/>
      <w:szCs w:val="24"/>
    </w:rPr>
  </w:style>
  <w:style w:type="paragraph" w:styleId="934" w:customStyle="1">
    <w:name w:val="纯文本2"/>
    <w:basedOn w:val="847"/>
    <w:uiPriority w:val="0"/>
    <w:qFormat/>
    <w:rPr>
      <w:rFonts w:ascii="宋体" w:hAnsi="Courier New"/>
    </w:rPr>
  </w:style>
  <w:style w:type="paragraph" w:styleId="935" w:customStyle="1">
    <w:name w:val="Plain Text1"/>
    <w:basedOn w:val="847"/>
    <w:uiPriority w:val="0"/>
    <w:qFormat/>
    <w:rPr>
      <w:rFonts w:hint="eastAsia" w:ascii="宋体" w:hAnsi="Courier New"/>
      <w:sz w:val="28"/>
    </w:rPr>
  </w:style>
  <w:style w:type="table" w:styleId="936" w:customStyle="1">
    <w:name w:val="网格型1"/>
    <w:basedOn w:val="854"/>
    <w:uiPriority w:val="39"/>
    <w:qFormat/>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937" w:customStyle="1">
    <w:name w:val="*正文"/>
    <w:basedOn w:val="847"/>
    <w:uiPriority w:val="0"/>
    <w:qFormat/>
    <w:pPr>
      <w:ind w:firstLine="200"/>
      <w:spacing w:line="360" w:lineRule="auto"/>
      <w:widowControl/>
    </w:pPr>
    <w:rPr>
      <w:rFonts w:ascii="仿宋_GB2312" w:hAnsi="Calibri" w:eastAsia="仿宋_GB2312"/>
      <w:sz w:val="24"/>
      <w:szCs w:val="28"/>
    </w:rPr>
  </w:style>
  <w:style w:type="paragraph" w:styleId="938" w:customStyle="1">
    <w:name w:val="p25"/>
    <w:basedOn w:val="847"/>
    <w:uiPriority w:val="0"/>
    <w:qFormat/>
    <w:rPr>
      <w:rFonts w:ascii="黑体" w:hAnsi="黑体" w:eastAsia="宋体" w:cs="黑体"/>
      <w:sz w:val="21"/>
      <w:szCs w:val="26"/>
    </w:rPr>
  </w:style>
  <w:style w:type="paragraph" w:styleId="939" w:customStyle="1">
    <w:name w:val="纯文本11"/>
    <w:basedOn w:val="847"/>
    <w:uiPriority w:val="0"/>
    <w:qFormat/>
    <w:rPr>
      <w:rFonts w:ascii="宋体" w:hAnsi="Courier New"/>
      <w:sz w:val="28"/>
    </w:rPr>
  </w:style>
  <w:style w:type="paragraph" w:styleId="940" w:customStyle="1">
    <w:name w:val="修订11"/>
    <w:hidden/>
    <w:uiPriority w:val="99"/>
    <w:semiHidden/>
    <w:qFormat/>
    <w:rPr>
      <w:rFonts w:ascii="Times New Roman" w:hAnsi="Times New Roman" w:eastAsia="楷体_GB2312" w:cs="Times New Roman"/>
      <w:sz w:val="26"/>
      <w:lang w:val="en-US" w:eastAsia="zh-CN" w:bidi="ar-SA"/>
    </w:rPr>
  </w:style>
  <w:style w:type="paragraph" w:styleId="941" w:customStyle="1">
    <w:name w:val="正文_0"/>
    <w:uiPriority w:val="0"/>
    <w:qFormat/>
    <w:pPr>
      <w:jc w:val="both"/>
      <w:widowControl w:val="off"/>
    </w:pPr>
    <w:rPr>
      <w:rFonts w:ascii="Times New Roman" w:hAnsi="Times New Roman" w:eastAsia="宋体" w:cs="Times New Roman"/>
      <w:sz w:val="21"/>
      <w:szCs w:val="24"/>
      <w:lang w:val="en-US" w:eastAsia="zh-CN" w:bidi="ar-SA"/>
    </w:rPr>
  </w:style>
  <w:style w:type="paragraph" w:styleId="942" w:customStyle="1">
    <w:name w:val="格式３"/>
    <w:basedOn w:val="847"/>
    <w:uiPriority w:val="0"/>
    <w:qFormat/>
    <w:pPr>
      <w:ind w:left="600" w:hanging="600"/>
      <w:spacing w:line="420" w:lineRule="exact"/>
    </w:pPr>
    <w:rPr>
      <w:rFonts w:ascii="宋体" w:hAnsi="宋体" w:eastAsia="宋体"/>
      <w:color w:val="000000"/>
      <w:sz w:val="24"/>
    </w:rPr>
  </w:style>
  <w:style w:type="character" w:styleId="943" w:customStyle="1">
    <w:name w:val="font71"/>
    <w:basedOn w:val="853"/>
    <w:uiPriority w:val="0"/>
    <w:qFormat/>
    <w:rPr>
      <w:rFonts w:hint="eastAsia" w:ascii="宋体" w:hAnsi="宋体" w:eastAsia="宋体" w:cs="宋体"/>
      <w:color w:val="000000"/>
      <w:sz w:val="21"/>
      <w:szCs w:val="21"/>
      <w:u w:val="none"/>
    </w:rPr>
  </w:style>
  <w:style w:type="character" w:styleId="944" w:customStyle="1">
    <w:name w:val="font61"/>
    <w:basedOn w:val="853"/>
    <w:uiPriority w:val="0"/>
    <w:qFormat/>
    <w:rPr>
      <w:rFonts w:hint="eastAsia" w:ascii="宋体" w:hAnsi="宋体" w:eastAsia="宋体" w:cs="宋体"/>
      <w:color w:val="ff0000"/>
      <w:sz w:val="21"/>
      <w:szCs w:val="21"/>
      <w:u w:val="none"/>
    </w:rPr>
  </w:style>
  <w:style w:type="character" w:styleId="945" w:customStyle="1">
    <w:name w:val="font41"/>
    <w:basedOn w:val="853"/>
    <w:uiPriority w:val="0"/>
    <w:qFormat/>
    <w:rPr>
      <w:rFonts w:hint="eastAsia" w:ascii="宋体" w:hAnsi="宋体" w:eastAsia="宋体" w:cs="宋体"/>
      <w:color w:val="000000"/>
      <w:sz w:val="21"/>
      <w:szCs w:val="21"/>
      <w:u w:val="none"/>
    </w:rPr>
  </w:style>
  <w:style w:type="character" w:styleId="946" w:customStyle="1">
    <w:name w:val="font101"/>
    <w:basedOn w:val="853"/>
    <w:uiPriority w:val="0"/>
    <w:qFormat/>
    <w:rPr>
      <w:rFonts w:ascii="微软雅黑" w:hAnsi="微软雅黑" w:eastAsia="微软雅黑" w:cs="微软雅黑"/>
      <w:color w:val="000000"/>
      <w:sz w:val="22"/>
      <w:szCs w:val="22"/>
      <w:u w:val="none"/>
    </w:rPr>
  </w:style>
  <w:style w:type="character" w:styleId="947" w:customStyle="1">
    <w:name w:val="font81"/>
    <w:basedOn w:val="853"/>
    <w:uiPriority w:val="0"/>
    <w:qFormat/>
    <w:rPr>
      <w:rFonts w:hint="eastAsia" w:ascii="宋体" w:hAnsi="宋体" w:eastAsia="宋体" w:cs="宋体"/>
      <w:color w:val="ff0000"/>
      <w:sz w:val="21"/>
      <w:szCs w:val="21"/>
      <w:u w:val="none"/>
    </w:rPr>
  </w:style>
  <w:style w:type="character" w:styleId="948" w:customStyle="1">
    <w:name w:val="font111"/>
    <w:basedOn w:val="853"/>
    <w:uiPriority w:val="0"/>
    <w:qFormat/>
    <w:rPr>
      <w:rFonts w:hint="eastAsia" w:ascii="微软雅黑" w:hAnsi="微软雅黑" w:eastAsia="微软雅黑" w:cs="微软雅黑"/>
      <w:color w:val="ff0000"/>
      <w:sz w:val="22"/>
      <w:szCs w:val="22"/>
      <w:u w:val="none"/>
    </w:rPr>
  </w:style>
  <w:style w:type="character" w:styleId="949" w:customStyle="1">
    <w:name w:val="font122"/>
    <w:basedOn w:val="853"/>
    <w:uiPriority w:val="0"/>
    <w:qFormat/>
    <w:rPr>
      <w:rFonts w:hint="eastAsia" w:ascii="宋体" w:hAnsi="宋体" w:eastAsia="宋体" w:cs="宋体"/>
      <w:color w:val="000000"/>
      <w:sz w:val="18"/>
      <w:szCs w:val="18"/>
      <w:u w:val="none"/>
    </w:rPr>
  </w:style>
  <w:style w:type="paragraph" w:styleId="950" w:customStyle="1">
    <w:name w:val="[基本段落]"/>
    <w:basedOn w:val="847"/>
    <w:uiPriority w:val="99"/>
    <w:qFormat/>
    <w:pPr>
      <w:spacing w:line="288" w:lineRule="auto"/>
    </w:pPr>
    <w:rPr>
      <w:rFonts w:ascii="Adobe 宋体 Std L" w:eastAsia="Adobe 宋体 Std L" w:cs="Adobe 宋体 Std L" w:hAnsiTheme="minorHAnsi"/>
      <w:color w:val="000000"/>
      <w:sz w:val="24"/>
      <w:szCs w:val="24"/>
      <w:lang w:val="zh-CN"/>
    </w:rPr>
  </w:style>
  <w:style w:type="paragraph" w:styleId="951" w:customStyle="1">
    <w:name w:val="列表段落1"/>
    <w:basedOn w:val="847"/>
    <w:uiPriority w:val="34"/>
    <w:qFormat/>
    <w:pPr>
      <w:ind w:firstLine="420"/>
    </w:pPr>
  </w:style>
  <w:style w:type="paragraph" w:styleId="952" w:customStyle="1">
    <w:name w:val="列出段落1"/>
    <w:basedOn w:val="847"/>
    <w:uiPriority w:val="34"/>
    <w:qFormat/>
    <w:pPr>
      <w:ind w:firstLine="420"/>
    </w:pPr>
    <w:rPr>
      <w:rFonts w:ascii="Calibri" w:hAnsi="Calibri" w:eastAsia="宋体"/>
      <w:sz w:val="21"/>
      <w:szCs w:val="22"/>
    </w:rPr>
  </w:style>
  <w:style w:type="paragraph" w:styleId="953" w:customStyle="1">
    <w:name w:val="_正文段落"/>
    <w:basedOn w:val="847"/>
    <w:uiPriority w:val="0"/>
    <w:qFormat/>
    <w:pPr>
      <w:ind w:firstLine="480"/>
      <w:spacing w:line="360" w:lineRule="auto"/>
    </w:pPr>
    <w:rPr>
      <w:rFonts w:ascii="宋体" w:hAnsi="宋体" w:eastAsia="宋体"/>
      <w:sz w:val="24"/>
      <w:szCs w:val="24"/>
    </w:rPr>
  </w:style>
  <w:style w:type="paragraph" w:styleId="954" w:customStyle="1">
    <w:name w:val="纯文本3"/>
    <w:basedOn w:val="847"/>
    <w:uiPriority w:val="0"/>
    <w:qFormat/>
    <w:rPr>
      <w:rFonts w:ascii="宋体" w:hAnsi="Courier New"/>
    </w:rPr>
  </w:style>
  <w:style w:type="character" w:styleId="955" w:customStyle="1">
    <w:name w:val="NormalCharacter"/>
    <w:uiPriority w:val="0"/>
    <w:qFormat/>
  </w:style>
  <w:style w:type="table" w:styleId="956" w:customStyle="1">
    <w:name w:val="Table Normal"/>
    <w:uiPriority w:val="0"/>
    <w:semiHidden/>
    <w:unhideWhenUsed/>
    <w:qFormat/>
    <w:tblPr>
      <w:tblCellMar>
        <w:left w:w="0" w:type="dxa"/>
        <w:top w:w="0" w:type="dxa"/>
        <w:right w:w="0" w:type="dxa"/>
        <w:bottom w:w="0" w:type="dxa"/>
      </w:tblCellMar>
    </w:tblPr>
  </w:style>
  <w:style w:type="paragraph" w:styleId="957" w:customStyle="1">
    <w:name w:val="Table Text"/>
    <w:basedOn w:val="847"/>
    <w:uiPriority w:val="0"/>
    <w:semiHidden/>
    <w:qFormat/>
    <w:rPr>
      <w:rFonts w:ascii="宋体" w:hAnsi="宋体" w:eastAsia="宋体" w:cs="宋体"/>
      <w:sz w:val="24"/>
      <w:szCs w:val="24"/>
      <w:lang w:val="en-US" w:eastAsia="en-US" w:bidi="ar-SA"/>
    </w:rPr>
  </w:style>
  <w:style w:type="character" w:styleId="958" w:customStyle="1">
    <w:name w:val="font01"/>
    <w:basedOn w:val="853"/>
    <w:uiPriority w:val="0"/>
    <w:qFormat/>
    <w:rPr>
      <w:rFonts w:hint="eastAsia" w:ascii="宋体" w:hAnsi="宋体" w:eastAsia="宋体" w:cs="宋体"/>
      <w:color w:val="000000"/>
      <w:sz w:val="22"/>
      <w:szCs w:val="22"/>
      <w:u w:val="none"/>
    </w:rPr>
  </w:style>
  <w:style w:type="character" w:styleId="959" w:customStyle="1">
    <w:name w:val="font91"/>
    <w:basedOn w:val="853"/>
    <w:uiPriority w:val="0"/>
    <w:qFormat/>
    <w:rPr>
      <w:rFonts w:hint="eastAsia" w:ascii="宋体" w:hAnsi="宋体" w:eastAsia="宋体" w:cs="宋体"/>
      <w:color w:val="000000"/>
      <w:sz w:val="22"/>
      <w:szCs w:val="22"/>
      <w:u w:val="none"/>
      <w:vertAlign w:val="superscript"/>
    </w:rPr>
  </w:style>
  <w:style w:type="character" w:styleId="960" w:customStyle="1">
    <w:name w:val="font11"/>
    <w:basedOn w:val="853"/>
    <w:uiPriority w:val="0"/>
    <w:qFormat/>
    <w:rPr>
      <w:rFonts w:hint="eastAsia" w:ascii="宋体" w:hAnsi="宋体" w:eastAsia="宋体" w:cs="宋体"/>
      <w:color w:val="000000"/>
      <w:sz w:val="20"/>
      <w:szCs w:val="20"/>
      <w:u w:val="none"/>
    </w:rPr>
  </w:style>
  <w:style w:type="paragraph" w:styleId="961" w:customStyle="1">
    <w:name w:val="Plain Text"/>
    <w:basedOn w:val="847"/>
    <w:uiPriority w:val="0"/>
    <w:qFormat/>
    <w:pPr>
      <w:jc w:val="both"/>
      <w:widowControl w:val="off"/>
      <w:pBdr>
        <w:top w:val="none" w:color="auto" w:sz="0" w:space="0"/>
        <w:left w:val="none" w:color="auto" w:sz="0" w:space="0"/>
        <w:bottom w:val="none" w:color="auto" w:sz="0" w:space="0"/>
        <w:right w:val="none" w:color="auto" w:sz="0" w:space="0"/>
        <w:between w:val="none" w:color="auto" w:sz="0" w:space="0"/>
      </w:pBdr>
    </w:pPr>
    <w:rPr>
      <w:rFonts w:ascii="宋体" w:hAnsi="Courier New" w:eastAsia="楷体_GB2312"/>
      <w:color w:val="auto"/>
      <w:sz w:val="26"/>
      <w:szCs w:val="20"/>
      <w:u w:val="none"/>
    </w:rPr>
  </w:style>
  <w:style w:type="paragraph" w:styleId="962" w:customStyle="1">
    <w:name w:val="标题 11"/>
    <w:next w:val="963"/>
    <w:uiPriority w:val="0"/>
    <w:qFormat/>
    <w:pPr>
      <w:jc w:val="both"/>
      <w:keepLines/>
      <w:keepNext/>
      <w:spacing w:before="340" w:after="330" w:line="578" w:lineRule="auto"/>
      <w:widowControl w:val="off"/>
      <w:outlineLvl w:val="0"/>
    </w:pPr>
    <w:rPr>
      <w:rFonts w:ascii="Arial Unicode MS" w:hAnsi="Arial Unicode MS" w:eastAsia="Arial Unicode MS" w:cs="Arial Unicode MS"/>
      <w:color w:val="000000"/>
      <w:sz w:val="44"/>
      <w:szCs w:val="44"/>
      <w:u w:val="none"/>
      <w:lang w:val="en-US" w:eastAsia="zh-CN" w:bidi="ar-SA"/>
    </w:rPr>
  </w:style>
  <w:style w:type="paragraph" w:styleId="963" w:customStyle="1">
    <w:name w:val="正文 A"/>
    <w:uiPriority w:val="0"/>
    <w:qFormat/>
    <w:pPr>
      <w:jc w:val="both"/>
      <w:widowControl w:val="off"/>
      <w:framePr w:wrap="around" w:vAnchor="margin" w:hAnchor="text" w:yAlign="top"/>
    </w:pPr>
    <w:rPr>
      <w:rFonts w:ascii="Calibri" w:hAnsi="Calibri" w:eastAsia="Calibri" w:cs="Calibri"/>
      <w:color w:val="000000"/>
      <w:sz w:val="21"/>
      <w:szCs w:val="21"/>
      <w:u w:val="none"/>
      <w:lang w:val="en-US" w:eastAsia="zh-CN" w:bidi="ar-SA"/>
    </w:rPr>
  </w:style>
  <w:style w:type="paragraph" w:styleId="964" w:customStyle="1">
    <w:name w:val="纯文本4"/>
    <w:basedOn w:val="847"/>
    <w:uiPriority w:val="0"/>
    <w:qFormat/>
    <w:rPr>
      <w:rFonts w:ascii="宋体" w:hAnsi="Courier New" w:eastAsia="楷体_GB2312"/>
      <w:sz w:val="28"/>
    </w:rPr>
  </w:style>
  <w:style w:type="numbering" w:styleId="96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俞莉</cp:lastModifiedBy>
  <cp:revision>475</cp:revision>
  <dcterms:created xsi:type="dcterms:W3CDTF">2022-06-20T04:01:00Z</dcterms:created>
  <dcterms:modified xsi:type="dcterms:W3CDTF">2025-12-03T03:02:15Z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B5C1C73FF1304C8A83B2E62E46F0A9CC_13</vt:lpwstr>
  </property>
  <property fmtid="{D5CDD505-2E9C-101B-9397-08002B2CF9AE}" pid="4" name="KSOTemplateDocerSaveRecord">
    <vt:lpwstr>eyJoZGlkIjoiZjEyODJkYWE5NjdiMjliY2E5YTc3ZDM1N2NhODdkODIiLCJ1c2VySWQiOiIyOTQ1NzYwNTUifQ==</vt:lpwstr>
  </property>
</Properties>
</file>